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rsidP="003040F3">
            <w:pPr>
              <w:widowControl w:val="0"/>
              <w:spacing w:after="0"/>
              <w:jc w:val="left"/>
              <w:rPr>
                <w:sz w:val="17"/>
                <w:szCs w:val="17"/>
                <w:lang w:val="pt-BR"/>
              </w:rPr>
            </w:pPr>
            <w:r>
              <w:rPr>
                <w:sz w:val="17"/>
                <w:szCs w:val="17"/>
                <w:lang w:val="pt-BR"/>
              </w:rPr>
              <w:t>Código validación comunicación: cod_val_rad</w:t>
            </w:r>
          </w:p>
        </w:tc>
        <w:tc>
          <w:tcPr>
            <w:tcW w:w="5451" w:type="dxa"/>
          </w:tcPr>
          <w:p w14:paraId="3A2B2162" w14:textId="77777777" w:rsidR="00DE1913" w:rsidRDefault="003B2B73" w:rsidP="003040F3">
            <w:pPr>
              <w:widowControl w:val="0"/>
              <w:spacing w:after="0"/>
              <w:jc w:val="right"/>
              <w:rPr>
                <w:sz w:val="17"/>
                <w:szCs w:val="17"/>
                <w:lang w:val="pt-BR"/>
              </w:rPr>
            </w:pPr>
            <w:r>
              <w:rPr>
                <w:sz w:val="17"/>
                <w:szCs w:val="17"/>
                <w:lang w:val="pt-BR"/>
              </w:rPr>
              <w:t>Código Dependencia: depe_var</w:t>
            </w:r>
          </w:p>
        </w:tc>
      </w:tr>
      <w:tr w:rsidR="00DE1913" w14:paraId="566C62F5" w14:textId="77777777">
        <w:tc>
          <w:tcPr>
            <w:tcW w:w="3915" w:type="dxa"/>
          </w:tcPr>
          <w:p w14:paraId="2ADCC3AD" w14:textId="77777777" w:rsidR="00DE1913" w:rsidRDefault="003B2B73" w:rsidP="003040F3">
            <w:pPr>
              <w:widowControl w:val="0"/>
              <w:spacing w:after="0"/>
              <w:jc w:val="left"/>
              <w:rPr>
                <w:sz w:val="17"/>
                <w:szCs w:val="17"/>
                <w:lang w:val="pt-BR"/>
              </w:rPr>
            </w:pPr>
            <w:r>
              <w:rPr>
                <w:sz w:val="17"/>
                <w:szCs w:val="17"/>
                <w:lang w:val="pt-BR"/>
              </w:rPr>
              <w:t>cod_exp</w:t>
            </w:r>
            <w:r>
              <w:rPr>
                <w:sz w:val="17"/>
                <w:szCs w:val="17"/>
                <w:lang w:val="pt-BR"/>
              </w:rPr>
              <w:br/>
              <w:t>cod_val_exp</w:t>
            </w:r>
          </w:p>
        </w:tc>
        <w:tc>
          <w:tcPr>
            <w:tcW w:w="5451" w:type="dxa"/>
          </w:tcPr>
          <w:p w14:paraId="724B864E" w14:textId="77777777" w:rsidR="00DE1913" w:rsidRDefault="003B2B73" w:rsidP="003040F3">
            <w:pPr>
              <w:widowControl w:val="0"/>
              <w:spacing w:after="0"/>
              <w:jc w:val="right"/>
              <w:rPr>
                <w:sz w:val="17"/>
                <w:szCs w:val="17"/>
              </w:rPr>
            </w:pPr>
            <w:r>
              <w:rPr>
                <w:rFonts w:eastAsia="Times New Roman" w:cs="Times New Roman"/>
                <w:sz w:val="17"/>
                <w:szCs w:val="17"/>
                <w:lang w:val="pt-BR" w:eastAsia="es-ES"/>
              </w:rPr>
              <w:t>Acceso: Reservado (ac_res), Público (ac_pub), Clasificado (ac_cla)</w:t>
            </w:r>
          </w:p>
        </w:tc>
      </w:tr>
    </w:tbl>
    <w:p w14:paraId="171D3E54" w14:textId="77777777" w:rsidR="00DE1913" w:rsidRDefault="00DE1913" w:rsidP="003040F3">
      <w:pPr>
        <w:ind w:right="49"/>
        <w:jc w:val="left"/>
        <w:rPr>
          <w:rFonts w:ascii="Work Sans ExtraLight" w:hAnsi="Work Sans ExtraLight"/>
          <w:sz w:val="16"/>
          <w:lang w:val="pt-BR"/>
        </w:rPr>
      </w:pPr>
    </w:p>
    <w:p w14:paraId="57ECD084" w14:textId="77777777" w:rsidR="00DE1913" w:rsidRDefault="003B2B73" w:rsidP="003040F3">
      <w:pPr>
        <w:spacing w:after="0"/>
        <w:jc w:val="left"/>
        <w:rPr>
          <w:szCs w:val="24"/>
          <w:lang w:val="pt-BR"/>
        </w:rPr>
      </w:pPr>
      <w:r>
        <w:rPr>
          <w:szCs w:val="24"/>
          <w:lang w:val="pt-BR"/>
        </w:rPr>
        <w:t>Bogotá, D.C.</w:t>
      </w:r>
    </w:p>
    <w:p w14:paraId="3308340B" w14:textId="77777777" w:rsidR="00DE1913" w:rsidRDefault="00DE1913" w:rsidP="003040F3">
      <w:pPr>
        <w:spacing w:after="0"/>
        <w:jc w:val="left"/>
        <w:rPr>
          <w:rFonts w:cs="Arial"/>
          <w:szCs w:val="24"/>
        </w:rPr>
      </w:pPr>
    </w:p>
    <w:p w14:paraId="5CC14689" w14:textId="77777777" w:rsidR="00DE1913" w:rsidRDefault="003B2B73" w:rsidP="003040F3">
      <w:pPr>
        <w:spacing w:after="0"/>
        <w:jc w:val="left"/>
        <w:rPr>
          <w:szCs w:val="24"/>
        </w:rPr>
      </w:pPr>
      <w:r>
        <w:rPr>
          <w:szCs w:val="24"/>
        </w:rPr>
        <w:t>encabezado</w:t>
      </w:r>
    </w:p>
    <w:p w14:paraId="7DBBECFA" w14:textId="77777777" w:rsidR="00DE1913" w:rsidRDefault="003B2B73" w:rsidP="003040F3">
      <w:pPr>
        <w:spacing w:after="0"/>
        <w:jc w:val="left"/>
        <w:rPr>
          <w:szCs w:val="24"/>
          <w:lang w:val="es-ES"/>
        </w:rPr>
      </w:pPr>
      <w:r>
        <w:rPr>
          <w:rFonts w:cs="Arial"/>
          <w:b/>
          <w:bCs/>
          <w:szCs w:val="24"/>
        </w:rPr>
        <w:t>nombredestinatario</w:t>
      </w:r>
      <w:r>
        <w:rPr>
          <w:szCs w:val="24"/>
        </w:rPr>
        <w:br/>
        <w:t>dir_r</w:t>
      </w:r>
      <w:r>
        <w:rPr>
          <w:szCs w:val="24"/>
        </w:rPr>
        <w:br/>
      </w:r>
      <w:r>
        <w:rPr>
          <w:szCs w:val="24"/>
          <w:lang w:val="es-ES"/>
        </w:rPr>
        <w:t>muni_r depto_r</w:t>
      </w:r>
    </w:p>
    <w:p w14:paraId="2D7F32A6" w14:textId="77777777" w:rsidR="00DE1913" w:rsidRDefault="00DE1913" w:rsidP="003040F3">
      <w:pPr>
        <w:pStyle w:val="Textoindependiente"/>
        <w:ind w:right="40"/>
        <w:jc w:val="left"/>
        <w:rPr>
          <w:rFonts w:ascii="Work Sans" w:hAnsi="Work Sans"/>
          <w:szCs w:val="24"/>
        </w:rPr>
      </w:pPr>
    </w:p>
    <w:p w14:paraId="4C646E0A" w14:textId="77777777" w:rsidR="003040F3" w:rsidRDefault="003040F3" w:rsidP="003040F3">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t>r_asunto</w:t>
      </w:r>
    </w:p>
    <w:p w14:paraId="7F7EB8DF" w14:textId="77777777" w:rsidR="00DE1913" w:rsidRDefault="00DE1913">
      <w:pPr>
        <w:pStyle w:val="Textoindependiente"/>
        <w:ind w:right="40"/>
        <w:rPr>
          <w:rFonts w:ascii="Work Sans" w:hAnsi="Work Sans"/>
          <w:szCs w:val="24"/>
        </w:rPr>
      </w:pPr>
    </w:p>
    <w:p w14:paraId="3BC3D3E9" w14:textId="1AC31156" w:rsidR="002B6E98" w:rsidRDefault="002B6E98" w:rsidP="768BB4C7">
      <w:pPr>
        <w:spacing w:line="240" w:lineRule="auto"/>
        <w:ind w:right="51"/>
        <w:contextualSpacing/>
        <w:rPr>
          <w:rFonts w:cs="Arial"/>
        </w:rPr>
      </w:pPr>
      <w:r w:rsidRPr="768BB4C7">
        <w:rPr>
          <w:rFonts w:cs="Arial"/>
        </w:rPr>
        <w:t>Cordial saludo, doctor</w:t>
      </w:r>
      <w:r w:rsidR="006F3788" w:rsidRPr="768BB4C7">
        <w:rPr>
          <w:rFonts w:cs="Arial"/>
        </w:rPr>
        <w:t xml:space="preserve"> Gaitán</w:t>
      </w:r>
      <w:r w:rsidR="4D41A74A" w:rsidRPr="768BB4C7">
        <w:rPr>
          <w:rFonts w:cs="Arial"/>
        </w:rPr>
        <w:t>.</w:t>
      </w:r>
      <w:r w:rsidRPr="768BB4C7">
        <w:rPr>
          <w:rFonts w:cs="Arial"/>
        </w:rPr>
        <w:t xml:space="preserve"> </w:t>
      </w:r>
    </w:p>
    <w:p w14:paraId="62A55EBE" w14:textId="77777777" w:rsidR="002B6E98" w:rsidRDefault="002B6E98" w:rsidP="002B6E98">
      <w:pPr>
        <w:spacing w:line="240" w:lineRule="auto"/>
        <w:ind w:right="51"/>
        <w:contextualSpacing/>
        <w:rPr>
          <w:rFonts w:cs="Arial"/>
        </w:rPr>
      </w:pPr>
    </w:p>
    <w:p w14:paraId="4495D7E4" w14:textId="7E159F8E" w:rsidR="006F3788" w:rsidRDefault="003C189A" w:rsidP="768BB4C7">
      <w:pPr>
        <w:spacing w:line="240" w:lineRule="auto"/>
        <w:ind w:right="51"/>
        <w:contextualSpacing/>
        <w:rPr>
          <w:rFonts w:cs="Arial"/>
        </w:rPr>
      </w:pPr>
      <w:r w:rsidRPr="768BB4C7">
        <w:rPr>
          <w:rFonts w:cs="Arial"/>
        </w:rPr>
        <w:t xml:space="preserve">La Dirección de Energía Eléctrica, en ejercicio de sus funciones de supervisión y en </w:t>
      </w:r>
      <w:r w:rsidR="003040F3" w:rsidRPr="768BB4C7">
        <w:rPr>
          <w:rFonts w:cs="Arial"/>
        </w:rPr>
        <w:t>atención al</w:t>
      </w:r>
      <w:r w:rsidRPr="768BB4C7">
        <w:rPr>
          <w:rFonts w:cs="Arial"/>
        </w:rPr>
        <w:t xml:space="preserve"> proceso de formalización de los contratos de Administración, Operación y Mantenimiento (AOM) de</w:t>
      </w:r>
      <w:r w:rsidR="7040BA20" w:rsidRPr="768BB4C7">
        <w:rPr>
          <w:rFonts w:cs="Arial"/>
        </w:rPr>
        <w:t xml:space="preserve"> los</w:t>
      </w:r>
      <w:r w:rsidRPr="768BB4C7">
        <w:rPr>
          <w:rFonts w:cs="Arial"/>
        </w:rPr>
        <w:t xml:space="preserve"> Sistemas Individuales de Soluciones Fotovoltaicas (SISFV) ejecutados con recursos del Ministerio de Minas y Energía, se permite indicar que, en el marco del Contrato </w:t>
      </w:r>
      <w:r w:rsidRPr="003040F3">
        <w:rPr>
          <w:rFonts w:cs="Arial"/>
          <w:b/>
          <w:bCs/>
        </w:rPr>
        <w:t>FAZNI</w:t>
      </w:r>
      <w:r w:rsidR="611C7695" w:rsidRPr="003040F3">
        <w:rPr>
          <w:rFonts w:cs="Arial"/>
          <w:b/>
          <w:bCs/>
        </w:rPr>
        <w:t xml:space="preserve"> –</w:t>
      </w:r>
      <w:r w:rsidRPr="003040F3">
        <w:rPr>
          <w:rFonts w:cs="Arial"/>
          <w:b/>
          <w:bCs/>
        </w:rPr>
        <w:t>GGC</w:t>
      </w:r>
      <w:r w:rsidR="611C7695" w:rsidRPr="003040F3">
        <w:rPr>
          <w:rFonts w:cs="Arial"/>
          <w:b/>
          <w:bCs/>
        </w:rPr>
        <w:t xml:space="preserve"> </w:t>
      </w:r>
      <w:r w:rsidR="00766FCA" w:rsidRPr="003040F3">
        <w:rPr>
          <w:rFonts w:cs="Arial"/>
          <w:b/>
          <w:bCs/>
        </w:rPr>
        <w:t>614</w:t>
      </w:r>
      <w:r w:rsidRPr="003040F3">
        <w:rPr>
          <w:rFonts w:cs="Arial"/>
          <w:b/>
          <w:bCs/>
        </w:rPr>
        <w:t xml:space="preserve"> (IPSE </w:t>
      </w:r>
      <w:r w:rsidR="00766FCA" w:rsidRPr="003040F3">
        <w:rPr>
          <w:rFonts w:cs="Arial"/>
          <w:b/>
          <w:bCs/>
        </w:rPr>
        <w:t>108</w:t>
      </w:r>
      <w:r w:rsidRPr="003040F3">
        <w:rPr>
          <w:rFonts w:cs="Arial"/>
          <w:b/>
          <w:bCs/>
        </w:rPr>
        <w:t>) de 2017</w:t>
      </w:r>
      <w:r w:rsidRPr="00317A99">
        <w:rPr>
          <w:rFonts w:cs="Arial"/>
        </w:rPr>
        <w:t>,</w:t>
      </w:r>
      <w:r w:rsidRPr="768BB4C7">
        <w:rPr>
          <w:rFonts w:cs="Arial"/>
        </w:rPr>
        <w:t xml:space="preserve"> fueron entregados a la Alcaldía Municipal </w:t>
      </w:r>
      <w:r w:rsidR="00766FCA" w:rsidRPr="768BB4C7">
        <w:rPr>
          <w:rFonts w:cs="Arial"/>
        </w:rPr>
        <w:t>de Puerto Carreño</w:t>
      </w:r>
      <w:r w:rsidR="003040F3">
        <w:rPr>
          <w:rFonts w:cs="Arial"/>
        </w:rPr>
        <w:t xml:space="preserve"> – </w:t>
      </w:r>
      <w:r w:rsidR="00766FCA" w:rsidRPr="768BB4C7">
        <w:rPr>
          <w:rFonts w:cs="Arial"/>
        </w:rPr>
        <w:t>V</w:t>
      </w:r>
      <w:r w:rsidR="11968EAC" w:rsidRPr="768BB4C7">
        <w:rPr>
          <w:rFonts w:cs="Arial"/>
        </w:rPr>
        <w:t>ichad</w:t>
      </w:r>
      <w:r w:rsidR="003040F3">
        <w:rPr>
          <w:rFonts w:cs="Arial"/>
        </w:rPr>
        <w:t xml:space="preserve"> </w:t>
      </w:r>
      <w:r w:rsidRPr="768BB4C7">
        <w:rPr>
          <w:rFonts w:cs="Arial"/>
        </w:rPr>
        <w:t xml:space="preserve">los activos construidos correspondientes a </w:t>
      </w:r>
      <w:r w:rsidR="00766FCA" w:rsidRPr="768BB4C7">
        <w:rPr>
          <w:rFonts w:cs="Arial"/>
        </w:rPr>
        <w:t>151</w:t>
      </w:r>
      <w:r w:rsidRPr="768BB4C7">
        <w:rPr>
          <w:rFonts w:cs="Arial"/>
        </w:rPr>
        <w:t xml:space="preserve"> SISFV, mediante Acta de Entrega de Infraestructura Energética suscrita el </w:t>
      </w:r>
      <w:r w:rsidR="00766FCA" w:rsidRPr="768BB4C7">
        <w:rPr>
          <w:rFonts w:cs="Arial"/>
        </w:rPr>
        <w:t>11</w:t>
      </w:r>
      <w:r w:rsidRPr="768BB4C7">
        <w:rPr>
          <w:rFonts w:cs="Arial"/>
        </w:rPr>
        <w:t xml:space="preserve"> de </w:t>
      </w:r>
      <w:r w:rsidR="00766FCA" w:rsidRPr="768BB4C7">
        <w:rPr>
          <w:rFonts w:cs="Arial"/>
        </w:rPr>
        <w:t>julio</w:t>
      </w:r>
      <w:r w:rsidRPr="768BB4C7">
        <w:rPr>
          <w:rFonts w:cs="Arial"/>
        </w:rPr>
        <w:t xml:space="preserve"> de 20</w:t>
      </w:r>
      <w:r w:rsidR="00766FCA" w:rsidRPr="768BB4C7">
        <w:rPr>
          <w:rFonts w:cs="Arial"/>
        </w:rPr>
        <w:t>19</w:t>
      </w:r>
      <w:r w:rsidRPr="768BB4C7">
        <w:rPr>
          <w:rFonts w:cs="Arial"/>
        </w:rPr>
        <w:t xml:space="preserve"> (</w:t>
      </w:r>
      <w:r w:rsidRPr="768BB4C7">
        <w:rPr>
          <w:rFonts w:cs="Arial"/>
          <w:b/>
          <w:bCs/>
        </w:rPr>
        <w:t>Anexo</w:t>
      </w:r>
      <w:r w:rsidR="0465D913" w:rsidRPr="768BB4C7">
        <w:rPr>
          <w:rFonts w:cs="Arial"/>
          <w:b/>
          <w:bCs/>
        </w:rPr>
        <w:t xml:space="preserve"> No.</w:t>
      </w:r>
      <w:r w:rsidRPr="768BB4C7">
        <w:rPr>
          <w:rFonts w:cs="Arial"/>
          <w:b/>
          <w:bCs/>
        </w:rPr>
        <w:t xml:space="preserve"> 1</w:t>
      </w:r>
      <w:r w:rsidRPr="768BB4C7">
        <w:rPr>
          <w:rFonts w:cs="Arial"/>
        </w:rPr>
        <w:t>).</w:t>
      </w:r>
    </w:p>
    <w:p w14:paraId="7C0AF24D" w14:textId="77777777" w:rsidR="003C189A" w:rsidRDefault="003C189A" w:rsidP="002B6E98">
      <w:pPr>
        <w:spacing w:line="240" w:lineRule="auto"/>
        <w:ind w:right="51"/>
        <w:contextualSpacing/>
        <w:rPr>
          <w:rFonts w:cs="Arial"/>
          <w:szCs w:val="24"/>
        </w:rPr>
      </w:pPr>
    </w:p>
    <w:p w14:paraId="0644E73F" w14:textId="3865C6C8" w:rsidR="006F3788" w:rsidRDefault="003C189A" w:rsidP="768BB4C7">
      <w:pPr>
        <w:spacing w:line="240" w:lineRule="auto"/>
        <w:ind w:right="51"/>
        <w:contextualSpacing/>
        <w:rPr>
          <w:rFonts w:cs="Arial"/>
        </w:rPr>
      </w:pPr>
      <w:r w:rsidRPr="768BB4C7">
        <w:rPr>
          <w:rFonts w:cs="Arial"/>
        </w:rPr>
        <w:t>En dicha acta, la Alcaldía asumió el compromiso de adelantar las actividades de Administración, Operación, Mantenimiento y Reposición (AOM) de los activos, en los términos establecidos en la</w:t>
      </w:r>
      <w:r w:rsidR="00766FCA" w:rsidRPr="768BB4C7">
        <w:rPr>
          <w:rFonts w:cs="Arial"/>
        </w:rPr>
        <w:t>s</w:t>
      </w:r>
      <w:r w:rsidRPr="768BB4C7">
        <w:rPr>
          <w:rFonts w:cs="Arial"/>
        </w:rPr>
        <w:t xml:space="preserve"> cláusulas</w:t>
      </w:r>
      <w:r w:rsidR="14F61D1C" w:rsidRPr="768BB4C7">
        <w:rPr>
          <w:rFonts w:cs="Arial"/>
        </w:rPr>
        <w:t xml:space="preserve"> segunda, </w:t>
      </w:r>
      <w:r w:rsidR="00766FCA" w:rsidRPr="768BB4C7">
        <w:rPr>
          <w:rFonts w:cs="Arial"/>
        </w:rPr>
        <w:t>qui</w:t>
      </w:r>
      <w:r w:rsidR="709F7378" w:rsidRPr="768BB4C7">
        <w:rPr>
          <w:rFonts w:cs="Arial"/>
        </w:rPr>
        <w:t>n</w:t>
      </w:r>
      <w:r w:rsidR="00766FCA" w:rsidRPr="768BB4C7">
        <w:rPr>
          <w:rFonts w:cs="Arial"/>
        </w:rPr>
        <w:t xml:space="preserve">ta </w:t>
      </w:r>
      <w:r w:rsidRPr="768BB4C7">
        <w:rPr>
          <w:rFonts w:cs="Arial"/>
        </w:rPr>
        <w:t>y octava</w:t>
      </w:r>
      <w:r w:rsidR="20E2CDFB" w:rsidRPr="768BB4C7">
        <w:rPr>
          <w:rFonts w:cs="Arial"/>
        </w:rPr>
        <w:t xml:space="preserve"> del acápite de consideraciones</w:t>
      </w:r>
      <w:r w:rsidRPr="768BB4C7">
        <w:rPr>
          <w:rFonts w:cs="Arial"/>
        </w:rPr>
        <w:t>, las cuales disponen:</w:t>
      </w:r>
    </w:p>
    <w:p w14:paraId="24630F19" w14:textId="77777777" w:rsidR="003040F3" w:rsidRDefault="003040F3" w:rsidP="768BB4C7">
      <w:pPr>
        <w:spacing w:line="240" w:lineRule="auto"/>
        <w:ind w:right="51"/>
        <w:contextualSpacing/>
        <w:rPr>
          <w:rFonts w:cs="Arial"/>
        </w:rPr>
      </w:pPr>
    </w:p>
    <w:p w14:paraId="4A006128" w14:textId="77777777" w:rsidR="003040F3" w:rsidRDefault="003040F3" w:rsidP="768BB4C7">
      <w:pPr>
        <w:spacing w:line="240" w:lineRule="auto"/>
        <w:ind w:right="51"/>
        <w:contextualSpacing/>
        <w:rPr>
          <w:rFonts w:cs="Arial"/>
        </w:rPr>
      </w:pPr>
    </w:p>
    <w:p w14:paraId="33FA8FFC" w14:textId="77777777" w:rsidR="003C189A" w:rsidRDefault="003C189A" w:rsidP="002B6E98">
      <w:pPr>
        <w:spacing w:line="240" w:lineRule="auto"/>
        <w:ind w:right="51"/>
        <w:contextualSpacing/>
        <w:rPr>
          <w:rFonts w:cs="Arial"/>
          <w:szCs w:val="24"/>
        </w:rPr>
      </w:pPr>
    </w:p>
    <w:p w14:paraId="27478F4B" w14:textId="4474B6F7" w:rsidR="00703A12" w:rsidRPr="00766FCA" w:rsidRDefault="006F3788" w:rsidP="768BB4C7">
      <w:pPr>
        <w:spacing w:line="240" w:lineRule="auto"/>
        <w:ind w:left="708" w:right="51"/>
        <w:contextualSpacing/>
        <w:rPr>
          <w:rFonts w:cs="Arial"/>
          <w:b/>
          <w:bCs/>
          <w:i/>
          <w:iCs/>
          <w:sz w:val="22"/>
        </w:rPr>
      </w:pPr>
      <w:r w:rsidRPr="768BB4C7">
        <w:rPr>
          <w:rFonts w:cs="Arial"/>
          <w:i/>
          <w:iCs/>
          <w:sz w:val="22"/>
        </w:rPr>
        <w:t>“</w:t>
      </w:r>
      <w:r w:rsidR="346E7E63" w:rsidRPr="003040F3">
        <w:rPr>
          <w:rFonts w:cs="Arial"/>
          <w:b/>
          <w:bCs/>
          <w:i/>
          <w:iCs/>
          <w:sz w:val="22"/>
        </w:rPr>
        <w:t>CONSIDERACIONES</w:t>
      </w:r>
    </w:p>
    <w:p w14:paraId="7FD5F8B7" w14:textId="2639CAEA" w:rsidR="00703A12" w:rsidRPr="003040F3" w:rsidRDefault="00703A12" w:rsidP="768BB4C7">
      <w:pPr>
        <w:spacing w:line="240" w:lineRule="auto"/>
        <w:ind w:left="708" w:right="51"/>
        <w:contextualSpacing/>
        <w:rPr>
          <w:rFonts w:cs="Arial"/>
          <w:b/>
          <w:bCs/>
          <w:i/>
          <w:iCs/>
          <w:sz w:val="22"/>
        </w:rPr>
      </w:pPr>
    </w:p>
    <w:p w14:paraId="0E5DCE54" w14:textId="2DE49D65" w:rsidR="00703A12" w:rsidRPr="00766FCA" w:rsidRDefault="346E7E63" w:rsidP="768BB4C7">
      <w:pPr>
        <w:spacing w:line="240" w:lineRule="auto"/>
        <w:ind w:left="708" w:right="51"/>
        <w:contextualSpacing/>
        <w:rPr>
          <w:rFonts w:cs="Arial"/>
          <w:i/>
          <w:iCs/>
          <w:sz w:val="22"/>
        </w:rPr>
      </w:pPr>
      <w:r w:rsidRPr="003040F3">
        <w:rPr>
          <w:rFonts w:cs="Arial"/>
          <w:b/>
          <w:bCs/>
          <w:i/>
          <w:iCs/>
          <w:sz w:val="22"/>
        </w:rPr>
        <w:t>SEGUNDA:</w:t>
      </w:r>
      <w:r w:rsidRPr="768BB4C7">
        <w:rPr>
          <w:rFonts w:cs="Arial"/>
          <w:i/>
          <w:iCs/>
          <w:sz w:val="22"/>
        </w:rPr>
        <w:t xml:space="preserve"> </w:t>
      </w:r>
      <w:r w:rsidRPr="003040F3">
        <w:rPr>
          <w:rFonts w:cs="Arial"/>
          <w:b/>
          <w:bCs/>
          <w:i/>
          <w:iCs/>
          <w:sz w:val="22"/>
          <w:u w:val="single"/>
        </w:rPr>
        <w:t xml:space="preserve">La Alcaldía de Puerto Carreño, adelantará las labores de Administración, Operación y Mantenimiento de la infraestructura construida a partir de la firma de la presente acta, haciéndose responsable de los danos que los activos puedan sufrir u ocasionar. </w:t>
      </w:r>
      <w:r w:rsidRPr="768BB4C7">
        <w:rPr>
          <w:rFonts w:cs="Arial"/>
          <w:i/>
          <w:iCs/>
          <w:sz w:val="22"/>
        </w:rPr>
        <w:t xml:space="preserve">A su vez el ente territorial se compromete </w:t>
      </w:r>
      <w:r w:rsidRPr="768BB4C7">
        <w:rPr>
          <w:rFonts w:cs="Arial"/>
          <w:i/>
          <w:iCs/>
          <w:sz w:val="22"/>
        </w:rPr>
        <w:lastRenderedPageBreak/>
        <w:t>a suscribir el respectivo contrato especial con los propietarios de los activos en el que se establecerán la titularidad de las obligaciones y riesgos de cada una de las partes.</w:t>
      </w:r>
    </w:p>
    <w:p w14:paraId="01FE2E01" w14:textId="765BE4C3" w:rsidR="00703A12" w:rsidRPr="00766FCA" w:rsidRDefault="00703A12" w:rsidP="768BB4C7">
      <w:pPr>
        <w:spacing w:line="240" w:lineRule="auto"/>
        <w:ind w:left="708" w:right="51"/>
        <w:contextualSpacing/>
        <w:rPr>
          <w:rFonts w:cs="Arial"/>
          <w:i/>
          <w:iCs/>
          <w:sz w:val="22"/>
        </w:rPr>
      </w:pPr>
    </w:p>
    <w:p w14:paraId="2AA378E5" w14:textId="4C4AD39D" w:rsidR="00703A12" w:rsidRPr="00766FCA" w:rsidRDefault="346E7E63" w:rsidP="768BB4C7">
      <w:pPr>
        <w:spacing w:line="240" w:lineRule="auto"/>
        <w:ind w:left="708" w:right="51"/>
        <w:contextualSpacing/>
        <w:rPr>
          <w:rFonts w:cs="Arial"/>
          <w:i/>
          <w:iCs/>
          <w:sz w:val="22"/>
        </w:rPr>
      </w:pPr>
      <w:r w:rsidRPr="768BB4C7">
        <w:rPr>
          <w:rFonts w:cs="Arial"/>
          <w:i/>
          <w:iCs/>
          <w:sz w:val="22"/>
        </w:rPr>
        <w:t xml:space="preserve">(...) </w:t>
      </w:r>
    </w:p>
    <w:p w14:paraId="386E5E9D" w14:textId="0E68C083" w:rsidR="00703A12" w:rsidRPr="00766FCA" w:rsidRDefault="00703A12" w:rsidP="768BB4C7">
      <w:pPr>
        <w:spacing w:line="240" w:lineRule="auto"/>
        <w:ind w:left="708" w:right="51"/>
        <w:contextualSpacing/>
        <w:rPr>
          <w:rFonts w:cs="Arial"/>
          <w:i/>
          <w:iCs/>
          <w:sz w:val="22"/>
        </w:rPr>
      </w:pPr>
    </w:p>
    <w:p w14:paraId="5EFFB602" w14:textId="1767E73A" w:rsidR="00703A12" w:rsidRPr="00766FCA" w:rsidRDefault="00766FCA" w:rsidP="768BB4C7">
      <w:pPr>
        <w:spacing w:line="240" w:lineRule="auto"/>
        <w:ind w:left="708" w:right="51"/>
        <w:contextualSpacing/>
        <w:rPr>
          <w:rFonts w:cs="Arial"/>
          <w:i/>
          <w:iCs/>
          <w:sz w:val="22"/>
        </w:rPr>
      </w:pPr>
      <w:r w:rsidRPr="768BB4C7">
        <w:rPr>
          <w:rFonts w:cs="Arial"/>
          <w:b/>
          <w:bCs/>
          <w:i/>
          <w:iCs/>
          <w:sz w:val="22"/>
        </w:rPr>
        <w:t>QUINTO:</w:t>
      </w:r>
      <w:r w:rsidRPr="768BB4C7">
        <w:rPr>
          <w:rFonts w:cs="Arial"/>
          <w:i/>
          <w:iCs/>
          <w:sz w:val="22"/>
        </w:rPr>
        <w:t xml:space="preserve"> </w:t>
      </w:r>
      <w:r w:rsidRPr="003040F3">
        <w:rPr>
          <w:rFonts w:cs="Arial"/>
          <w:b/>
          <w:bCs/>
          <w:i/>
          <w:iCs/>
          <w:sz w:val="22"/>
          <w:u w:val="single"/>
        </w:rPr>
        <w:t>La Alcaldía de Puerto Carreño ha verificado la operatividad de todos los sistemas fotovoltaicos que por esta Acta recibe y efectuará a partir de este momento las actividades de Administración, Operación y Mantenimiento (AOM).</w:t>
      </w:r>
    </w:p>
    <w:p w14:paraId="66FF9881" w14:textId="77777777" w:rsidR="00766FCA" w:rsidRPr="00766FCA" w:rsidRDefault="00766FCA" w:rsidP="00766FCA">
      <w:pPr>
        <w:spacing w:line="240" w:lineRule="auto"/>
        <w:ind w:left="708" w:right="51"/>
        <w:contextualSpacing/>
        <w:rPr>
          <w:rFonts w:cs="Arial"/>
          <w:i/>
          <w:iCs/>
          <w:sz w:val="22"/>
        </w:rPr>
      </w:pPr>
    </w:p>
    <w:p w14:paraId="3A6FAC93" w14:textId="754F8689" w:rsidR="00766FCA" w:rsidRPr="00766FCA" w:rsidRDefault="00766FCA" w:rsidP="00766FCA">
      <w:pPr>
        <w:spacing w:line="240" w:lineRule="auto"/>
        <w:ind w:left="708" w:right="51"/>
        <w:contextualSpacing/>
        <w:rPr>
          <w:rFonts w:cs="Arial"/>
          <w:i/>
          <w:iCs/>
          <w:sz w:val="22"/>
        </w:rPr>
      </w:pPr>
      <w:r w:rsidRPr="00766FCA">
        <w:rPr>
          <w:rFonts w:cs="Arial"/>
          <w:i/>
          <w:iCs/>
          <w:sz w:val="22"/>
        </w:rPr>
        <w:t>(…)</w:t>
      </w:r>
    </w:p>
    <w:p w14:paraId="3C0A804E" w14:textId="77777777" w:rsidR="00766FCA" w:rsidRPr="00766FCA" w:rsidRDefault="00766FCA" w:rsidP="00766FCA">
      <w:pPr>
        <w:spacing w:line="240" w:lineRule="auto"/>
        <w:ind w:left="708" w:right="51"/>
        <w:contextualSpacing/>
        <w:rPr>
          <w:rFonts w:cs="Arial"/>
          <w:i/>
          <w:iCs/>
          <w:sz w:val="22"/>
        </w:rPr>
      </w:pPr>
    </w:p>
    <w:p w14:paraId="6374EBDC" w14:textId="7FB01BE6" w:rsidR="006F3788" w:rsidRDefault="00766FCA" w:rsidP="768BB4C7">
      <w:pPr>
        <w:spacing w:line="240" w:lineRule="auto"/>
        <w:ind w:left="708" w:right="51"/>
        <w:contextualSpacing/>
        <w:rPr>
          <w:rFonts w:cs="Arial"/>
          <w:i/>
          <w:iCs/>
        </w:rPr>
      </w:pPr>
      <w:r w:rsidRPr="768BB4C7">
        <w:rPr>
          <w:rFonts w:cs="Arial"/>
          <w:b/>
          <w:bCs/>
          <w:i/>
          <w:iCs/>
          <w:sz w:val="22"/>
        </w:rPr>
        <w:t>OCTAVO:</w:t>
      </w:r>
      <w:r w:rsidRPr="768BB4C7">
        <w:rPr>
          <w:rFonts w:cs="Arial"/>
          <w:i/>
          <w:iCs/>
          <w:sz w:val="22"/>
        </w:rPr>
        <w:t xml:space="preserve"> Este documento forma parte integral del contrato especial que en su momento suscriba la Alcaldía de Puerto Carreño con el Ministerio de Minas y Energía y el Instituto de Planificación Y Promoción De Soluciones Energéticas para las Zonas No Interconectadas (IPSE).</w:t>
      </w:r>
      <w:r w:rsidR="006F3788" w:rsidRPr="768BB4C7">
        <w:rPr>
          <w:rFonts w:cs="Arial"/>
          <w:i/>
          <w:iCs/>
          <w:sz w:val="22"/>
        </w:rPr>
        <w:t xml:space="preserve">” </w:t>
      </w:r>
      <w:r w:rsidR="1A9D5A56" w:rsidRPr="003040F3">
        <w:rPr>
          <w:rFonts w:cs="Arial"/>
          <w:sz w:val="22"/>
        </w:rPr>
        <w:t>(Negrita y subraya por fuera del texto original).</w:t>
      </w:r>
    </w:p>
    <w:p w14:paraId="102F87C9" w14:textId="37D092F1" w:rsidR="00477B26" w:rsidRPr="003040F3" w:rsidRDefault="00477B26" w:rsidP="768BB4C7">
      <w:pPr>
        <w:spacing w:line="240" w:lineRule="auto"/>
        <w:ind w:left="708" w:right="51"/>
        <w:contextualSpacing/>
        <w:rPr>
          <w:rFonts w:cs="Arial"/>
          <w:sz w:val="22"/>
        </w:rPr>
      </w:pPr>
    </w:p>
    <w:p w14:paraId="52115740" w14:textId="1F4E95DF" w:rsidR="00477B26" w:rsidRPr="003040F3" w:rsidRDefault="32D4933B">
      <w:pPr>
        <w:rPr>
          <w:rFonts w:eastAsia="Work Sans" w:cs="Work Sans"/>
          <w:szCs w:val="24"/>
        </w:rPr>
      </w:pPr>
      <w:r w:rsidRPr="003040F3">
        <w:rPr>
          <w:rFonts w:eastAsia="Work Sans" w:cs="Work Sans"/>
          <w:szCs w:val="24"/>
        </w:rPr>
        <w:t>Asimismo, el día 23 de marzo de 2022, se sus</w:t>
      </w:r>
      <w:r w:rsidR="3DC29C70" w:rsidRPr="003040F3">
        <w:rPr>
          <w:rFonts w:eastAsia="Work Sans" w:cs="Work Sans"/>
          <w:szCs w:val="24"/>
        </w:rPr>
        <w:t xml:space="preserve">cribió Acta de Liquidación </w:t>
      </w:r>
      <w:r w:rsidR="48CC52C1" w:rsidRPr="003040F3">
        <w:rPr>
          <w:rFonts w:eastAsia="Work Sans" w:cs="Work Sans"/>
          <w:szCs w:val="24"/>
        </w:rPr>
        <w:t>(</w:t>
      </w:r>
      <w:r w:rsidR="48CC52C1" w:rsidRPr="003040F3">
        <w:rPr>
          <w:rFonts w:eastAsia="Work Sans" w:cs="Work Sans"/>
          <w:b/>
          <w:bCs/>
          <w:szCs w:val="24"/>
        </w:rPr>
        <w:t>Anexo No.</w:t>
      </w:r>
      <w:r w:rsidR="003040F3">
        <w:rPr>
          <w:rFonts w:eastAsia="Work Sans" w:cs="Work Sans"/>
          <w:b/>
          <w:bCs/>
          <w:szCs w:val="24"/>
        </w:rPr>
        <w:t xml:space="preserve"> </w:t>
      </w:r>
      <w:r w:rsidR="48CC52C1" w:rsidRPr="003040F3">
        <w:rPr>
          <w:rFonts w:eastAsia="Work Sans" w:cs="Work Sans"/>
          <w:b/>
          <w:bCs/>
          <w:szCs w:val="24"/>
        </w:rPr>
        <w:t>2</w:t>
      </w:r>
      <w:r w:rsidR="48CC52C1" w:rsidRPr="003040F3">
        <w:rPr>
          <w:rFonts w:eastAsia="Work Sans" w:cs="Work Sans"/>
          <w:szCs w:val="24"/>
        </w:rPr>
        <w:t xml:space="preserve">) </w:t>
      </w:r>
      <w:r w:rsidR="3DC29C70" w:rsidRPr="003040F3">
        <w:rPr>
          <w:rFonts w:eastAsia="Work Sans" w:cs="Work Sans"/>
          <w:szCs w:val="24"/>
        </w:rPr>
        <w:t>de</w:t>
      </w:r>
      <w:r w:rsidRPr="003040F3">
        <w:rPr>
          <w:rFonts w:eastAsia="Work Sans" w:cs="Work Sans"/>
          <w:szCs w:val="24"/>
        </w:rPr>
        <w:t xml:space="preserve">l contrato interadministrativo </w:t>
      </w:r>
      <w:r w:rsidRPr="003040F3">
        <w:rPr>
          <w:rFonts w:eastAsia="Work Sans" w:cs="Work Sans"/>
          <w:b/>
          <w:bCs/>
          <w:szCs w:val="24"/>
        </w:rPr>
        <w:t xml:space="preserve">FAZNI GGC 614 (IPSE 108) de 2017, </w:t>
      </w:r>
      <w:r w:rsidR="7AD0F0E0" w:rsidRPr="003040F3">
        <w:rPr>
          <w:rFonts w:eastAsia="Work Sans" w:cs="Work Sans"/>
          <w:szCs w:val="24"/>
        </w:rPr>
        <w:t>en donde</w:t>
      </w:r>
      <w:r w:rsidR="7AD0F0E0" w:rsidRPr="003040F3">
        <w:rPr>
          <w:rFonts w:eastAsia="Work Sans" w:cs="Work Sans"/>
          <w:b/>
          <w:bCs/>
          <w:szCs w:val="24"/>
        </w:rPr>
        <w:t xml:space="preserve"> </w:t>
      </w:r>
      <w:r w:rsidRPr="003040F3">
        <w:rPr>
          <w:rFonts w:eastAsia="Work Sans" w:cs="Work Sans"/>
          <w:szCs w:val="24"/>
        </w:rPr>
        <w:t xml:space="preserve">se estableció, en su </w:t>
      </w:r>
      <w:r w:rsidR="3200B269" w:rsidRPr="003040F3">
        <w:rPr>
          <w:rFonts w:eastAsia="Work Sans" w:cs="Work Sans"/>
          <w:szCs w:val="24"/>
        </w:rPr>
        <w:t>cláusula tercera</w:t>
      </w:r>
      <w:r w:rsidRPr="003040F3">
        <w:rPr>
          <w:rFonts w:eastAsia="Work Sans" w:cs="Work Sans"/>
          <w:szCs w:val="24"/>
        </w:rPr>
        <w:t xml:space="preserve">, que la Alcaldía de Puerto </w:t>
      </w:r>
      <w:r w:rsidR="5201EF22" w:rsidRPr="003040F3">
        <w:rPr>
          <w:rFonts w:eastAsia="Work Sans" w:cs="Work Sans"/>
          <w:szCs w:val="24"/>
        </w:rPr>
        <w:t>Carreño</w:t>
      </w:r>
      <w:r w:rsidRPr="003040F3">
        <w:rPr>
          <w:rFonts w:eastAsia="Work Sans" w:cs="Work Sans"/>
          <w:szCs w:val="24"/>
        </w:rPr>
        <w:t>,</w:t>
      </w:r>
      <w:r w:rsidR="6D309888" w:rsidRPr="003040F3">
        <w:rPr>
          <w:rFonts w:eastAsia="Work Sans" w:cs="Work Sans"/>
          <w:szCs w:val="24"/>
        </w:rPr>
        <w:t xml:space="preserve"> Vichada</w:t>
      </w:r>
      <w:r w:rsidRPr="003040F3">
        <w:rPr>
          <w:rFonts w:eastAsia="Work Sans" w:cs="Work Sans"/>
          <w:szCs w:val="24"/>
        </w:rPr>
        <w:t xml:space="preserve"> </w:t>
      </w:r>
      <w:r w:rsidR="003040F3">
        <w:rPr>
          <w:rFonts w:eastAsia="Work Sans" w:cs="Work Sans"/>
        </w:rPr>
        <w:t>seria la</w:t>
      </w:r>
      <w:r w:rsidR="003040F3" w:rsidRPr="00EE71AA">
        <w:rPr>
          <w:rFonts w:eastAsia="Work Sans" w:cs="Work Sans"/>
        </w:rPr>
        <w:t xml:space="preserve"> responsable de la</w:t>
      </w:r>
      <w:r w:rsidRPr="003040F3">
        <w:rPr>
          <w:rFonts w:eastAsia="Work Sans" w:cs="Work Sans"/>
          <w:szCs w:val="24"/>
        </w:rPr>
        <w:t xml:space="preserve"> Administración, Operación y Mantenimiento, de la custodia de los activos y de efectuar la reposición de estos en caso de requerirlo por pérdidas totales y/o parciales.</w:t>
      </w:r>
    </w:p>
    <w:p w14:paraId="630C8021" w14:textId="5C90E389" w:rsidR="003C189A" w:rsidRPr="003040F3" w:rsidRDefault="32D4933B" w:rsidP="007C1DA5">
      <w:r w:rsidRPr="003040F3">
        <w:rPr>
          <w:rFonts w:eastAsia="Work Sans" w:cs="Work Sans"/>
          <w:szCs w:val="24"/>
        </w:rPr>
        <w:t>Por su parte, el artículo 5.1 de la Ley 142 de 1994, establece que es competencia de los</w:t>
      </w:r>
      <w:r w:rsidR="003C189A" w:rsidRPr="003040F3">
        <w:t xml:space="preserve"> municipios asegurar la prestación de los servicios públicos domiciliarios a sus habitantes,</w:t>
      </w:r>
      <w:r w:rsidR="0C36D7F5" w:rsidRPr="003040F3">
        <w:rPr>
          <w:b/>
          <w:bCs/>
        </w:rPr>
        <w:t xml:space="preserve"> a través de empresas de servicios públicos de carácter oficial, privado o mixto,</w:t>
      </w:r>
      <w:r w:rsidR="0C36D7F5" w:rsidRPr="003040F3">
        <w:t xml:space="preserve"> o directamente.</w:t>
      </w:r>
      <w:r w:rsidR="003C189A" w:rsidRPr="003040F3">
        <w:t xml:space="preserve"> </w:t>
      </w:r>
    </w:p>
    <w:p w14:paraId="5DBEC3F5" w14:textId="2A9E7A75" w:rsidR="003C189A" w:rsidRPr="003040F3" w:rsidRDefault="5C51156A">
      <w:pPr>
        <w:rPr>
          <w:rFonts w:eastAsia="Work Sans" w:cs="Work Sans"/>
          <w:szCs w:val="24"/>
        </w:rPr>
      </w:pPr>
      <w:r w:rsidRPr="003040F3">
        <w:rPr>
          <w:rFonts w:eastAsia="Work Sans" w:cs="Work Sans"/>
          <w:szCs w:val="24"/>
        </w:rPr>
        <w:t>De conformidad con lo anterior, y teniendo en cuenta la recomendación efectuada por el comité CAFAZNI en sesión No. 74 del 27 de abril de 2020 (</w:t>
      </w:r>
      <w:r w:rsidRPr="003040F3">
        <w:rPr>
          <w:rFonts w:eastAsia="Work Sans" w:cs="Work Sans"/>
          <w:b/>
          <w:bCs/>
          <w:szCs w:val="24"/>
        </w:rPr>
        <w:t>Anexo No. 3</w:t>
      </w:r>
      <w:r w:rsidRPr="003040F3">
        <w:rPr>
          <w:rFonts w:eastAsia="Work Sans" w:cs="Work Sans"/>
          <w:szCs w:val="24"/>
        </w:rPr>
        <w:t xml:space="preserve">), en donde se indica que: </w:t>
      </w:r>
    </w:p>
    <w:p w14:paraId="7E645B3C" w14:textId="266FB112" w:rsidR="003C189A" w:rsidRPr="003040F3" w:rsidRDefault="5C51156A" w:rsidP="003040F3">
      <w:pPr>
        <w:ind w:left="708"/>
        <w:rPr>
          <w:rFonts w:eastAsia="Work Sans" w:cs="Work Sans"/>
          <w:szCs w:val="24"/>
        </w:rPr>
      </w:pPr>
      <w:r w:rsidRPr="003040F3">
        <w:rPr>
          <w:rFonts w:eastAsia="Work Sans" w:cs="Work Sans"/>
          <w:i/>
          <w:iCs/>
          <w:szCs w:val="24"/>
        </w:rPr>
        <w:t xml:space="preserve">“(...) </w:t>
      </w:r>
    </w:p>
    <w:p w14:paraId="1AA3E496" w14:textId="75BC703C" w:rsidR="003C189A" w:rsidRPr="003040F3" w:rsidRDefault="5C51156A" w:rsidP="003040F3">
      <w:pPr>
        <w:ind w:left="708"/>
        <w:rPr>
          <w:rFonts w:eastAsia="Work Sans" w:cs="Work Sans"/>
          <w:szCs w:val="24"/>
        </w:rPr>
      </w:pPr>
      <w:r w:rsidRPr="003040F3">
        <w:rPr>
          <w:rFonts w:eastAsia="Work Sans" w:cs="Work Sans"/>
          <w:b/>
          <w:bCs/>
          <w:i/>
          <w:iCs/>
          <w:szCs w:val="24"/>
        </w:rPr>
        <w:lastRenderedPageBreak/>
        <w:t>4 Recomendación de la metodología para la entrega en aporte de proyectos FAZNI a empresas prestadoras del servicio público designadas por entes territoriales comprometidos a su AOM.</w:t>
      </w:r>
    </w:p>
    <w:p w14:paraId="441951B6" w14:textId="7E48A1EE" w:rsidR="003C189A" w:rsidRPr="003040F3" w:rsidRDefault="5C51156A" w:rsidP="003040F3">
      <w:pPr>
        <w:ind w:left="708"/>
        <w:rPr>
          <w:rFonts w:eastAsia="Work Sans" w:cs="Work Sans"/>
          <w:szCs w:val="24"/>
        </w:rPr>
      </w:pPr>
      <w:r w:rsidRPr="003040F3">
        <w:rPr>
          <w:rFonts w:eastAsia="Work Sans" w:cs="Work Sans"/>
          <w:i/>
          <w:iCs/>
          <w:szCs w:val="24"/>
        </w:rPr>
        <w:t>El CAFAZNI evalúa y recomienda la implementación de una metodología aplicable al caso de proyectos de SSFVI asignatarios de recursos de este comité, desarrollados con anterioridad al año 2019, en los que entes territoriales y prestadores del servicio se comprometieron a ejecutar su Administración, Operación y Mantenimiento (en adelante "AOM"), después de culminada la fase de construcción de los mismos. La metodología presentada, consiste en que el ente territorial comprometido al AOM honre frente al CAFAZNI su compromiso de realizar el AOM de manera directa o indirecta, para lo cual enviará una comunicación dirigida al Ministerio, donde se incluyan: i) Las razones por las que no cumplirá directamente el compromiso de ejecutar el AOM; ii) La descripción detallada de la empresa designada, y el aval de su experiencia y capacidad financiera para asumir el AOM del proyecto; iii) La intención manifiesta de la respectiva empresa de ejecutar la custodia y AOM de la infraestructura a favor del Ministerio y; iv) Una declaración donde garantice que, si la empresa de servicios públicos propuesta ejecuta un uso indebido de la infraestructura, o incumple las actividades de AOM y custodia, el ente territorial retomara dichas actividades.</w:t>
      </w:r>
    </w:p>
    <w:p w14:paraId="0D57AFF7" w14:textId="72982880" w:rsidR="003C189A" w:rsidRPr="003040F3" w:rsidRDefault="5C51156A" w:rsidP="003040F3">
      <w:pPr>
        <w:ind w:left="708"/>
        <w:rPr>
          <w:rFonts w:eastAsia="Work Sans" w:cs="Work Sans"/>
          <w:szCs w:val="24"/>
        </w:rPr>
      </w:pPr>
      <w:r w:rsidRPr="003040F3">
        <w:rPr>
          <w:rFonts w:eastAsia="Work Sans" w:cs="Work Sans"/>
          <w:i/>
          <w:iCs/>
          <w:szCs w:val="24"/>
        </w:rPr>
        <w:t>La presente recomendación podrá ser aplicada por el Ministerio y por las demás entidades que deseen adherírsele, para lo cual deberán verificar, en todo caso y de manera previa a su aplicación, el cumplimiento de la totalidad de requisitos legales previstos en las normas de contratación aplicables. Verificada la anterior información, el Ministerio podrá firmar el respectivo contrato de aporte con la empresa designada. Si hay más de un interesado, el responsable de aplicar los mecanismos legales para determinar la empresa que realizara el AOM, será el ente territorial.</w:t>
      </w:r>
    </w:p>
    <w:p w14:paraId="3BFE811B" w14:textId="393A5E4B" w:rsidR="003C189A" w:rsidRPr="003040F3" w:rsidRDefault="5C51156A" w:rsidP="003040F3">
      <w:pPr>
        <w:ind w:left="708"/>
        <w:rPr>
          <w:rFonts w:eastAsia="Work Sans" w:cs="Work Sans"/>
          <w:szCs w:val="24"/>
        </w:rPr>
      </w:pPr>
      <w:r w:rsidRPr="003040F3">
        <w:rPr>
          <w:rFonts w:eastAsia="Work Sans" w:cs="Work Sans"/>
          <w:i/>
          <w:iCs/>
          <w:szCs w:val="24"/>
        </w:rPr>
        <w:t xml:space="preserve">Para este punto se anexa documento que contiene antecedentes normativos y fácticos de la medida, y metodología propuesta.”. </w:t>
      </w:r>
    </w:p>
    <w:p w14:paraId="6BC9EC76" w14:textId="786D1EBF" w:rsidR="003C189A" w:rsidRDefault="003040F3" w:rsidP="003040F3">
      <w:pPr>
        <w:rPr>
          <w:rFonts w:eastAsia="Work Sans" w:cs="Work Sans"/>
          <w:szCs w:val="24"/>
        </w:rPr>
      </w:pPr>
      <w:r w:rsidRPr="006F7060">
        <w:rPr>
          <w:rFonts w:eastAsia="Work Sans" w:cs="Work Sans"/>
          <w:szCs w:val="24"/>
        </w:rPr>
        <w:lastRenderedPageBreak/>
        <w:t>Con lo cual,</w:t>
      </w:r>
      <w:r>
        <w:rPr>
          <w:rFonts w:eastAsia="Work Sans" w:cs="Work Sans"/>
          <w:szCs w:val="24"/>
        </w:rPr>
        <w:t xml:space="preserve"> l</w:t>
      </w:r>
      <w:r w:rsidR="4EC69FDF" w:rsidRPr="003040F3">
        <w:rPr>
          <w:rFonts w:eastAsia="Work Sans" w:cs="Work Sans"/>
          <w:color w:val="000000" w:themeColor="text1"/>
          <w:szCs w:val="24"/>
        </w:rPr>
        <w:t>a Alcaldía de Puerto Carreño, Vichada,</w:t>
      </w:r>
      <w:r w:rsidR="0E2622D4" w:rsidRPr="003040F3">
        <w:rPr>
          <w:rFonts w:eastAsia="Work Sans" w:cs="Work Sans"/>
          <w:color w:val="000000" w:themeColor="text1"/>
          <w:szCs w:val="24"/>
        </w:rPr>
        <w:t xml:space="preserve"> procedió a hacer entrega de los “</w:t>
      </w:r>
      <w:r w:rsidR="0E2622D4" w:rsidRPr="003040F3">
        <w:rPr>
          <w:rFonts w:eastAsia="Work Sans" w:cs="Work Sans"/>
          <w:i/>
          <w:iCs/>
          <w:color w:val="000000" w:themeColor="text1"/>
          <w:szCs w:val="24"/>
        </w:rPr>
        <w:t>(…) 151 equipos solares fotovoltaicos, construidos en el contrato FAZNI GGC-614-2.2017, relacionados en el inventarios de activos construidos y entregados, descritos (…)</w:t>
      </w:r>
      <w:r w:rsidR="00282CDF">
        <w:rPr>
          <w:rFonts w:eastAsia="Work Sans" w:cs="Work Sans"/>
          <w:color w:val="000000" w:themeColor="text1"/>
          <w:szCs w:val="24"/>
        </w:rPr>
        <w:t>”</w:t>
      </w:r>
      <w:r w:rsidR="0E2622D4" w:rsidRPr="003040F3">
        <w:rPr>
          <w:rFonts w:eastAsia="Work Sans" w:cs="Work Sans"/>
          <w:color w:val="000000" w:themeColor="text1"/>
          <w:szCs w:val="24"/>
        </w:rPr>
        <w:t xml:space="preserve"> a la </w:t>
      </w:r>
      <w:r w:rsidR="0E2622D4" w:rsidRPr="00E02F04">
        <w:rPr>
          <w:rFonts w:eastAsia="Work Sans" w:cs="Work Sans"/>
          <w:b/>
          <w:bCs/>
          <w:color w:val="000000" w:themeColor="text1"/>
          <w:szCs w:val="24"/>
        </w:rPr>
        <w:t>Empresa Prestadora de Servicios Públicos de Energía, Gas y Telecomunicaciones-</w:t>
      </w:r>
      <w:r w:rsidR="00B24F60">
        <w:rPr>
          <w:rFonts w:eastAsia="Work Sans" w:cs="Work Sans"/>
          <w:b/>
          <w:bCs/>
          <w:color w:val="000000" w:themeColor="text1"/>
          <w:szCs w:val="24"/>
        </w:rPr>
        <w:t>EGYT</w:t>
      </w:r>
      <w:r w:rsidR="0E2622D4" w:rsidRPr="00E02F04">
        <w:rPr>
          <w:rFonts w:eastAsia="Work Sans" w:cs="Work Sans"/>
          <w:b/>
          <w:bCs/>
          <w:color w:val="000000" w:themeColor="text1"/>
          <w:szCs w:val="24"/>
        </w:rPr>
        <w:t>- S.A.S. E.S.P.</w:t>
      </w:r>
      <w:r w:rsidR="0E2622D4" w:rsidRPr="003040F3">
        <w:rPr>
          <w:rFonts w:eastAsia="Work Sans" w:cs="Work Sans"/>
          <w:color w:val="000000" w:themeColor="text1"/>
          <w:szCs w:val="24"/>
        </w:rPr>
        <w:t xml:space="preserve">, para la actividad de Administración, Operación y Mantenimiento, </w:t>
      </w:r>
      <w:r w:rsidR="0E2622D4" w:rsidRPr="003040F3">
        <w:rPr>
          <w:rFonts w:eastAsia="Work Sans" w:cs="Work Sans"/>
          <w:i/>
          <w:iCs/>
          <w:color w:val="000000" w:themeColor="text1"/>
          <w:szCs w:val="24"/>
        </w:rPr>
        <w:t xml:space="preserve">“(…) con el compromiso de garantizar la sostenibilidad del proyecto (…)” </w:t>
      </w:r>
      <w:r w:rsidR="0E2622D4" w:rsidRPr="003040F3">
        <w:rPr>
          <w:rFonts w:eastAsia="Work Sans" w:cs="Work Sans"/>
          <w:color w:val="000000" w:themeColor="text1"/>
          <w:szCs w:val="24"/>
        </w:rPr>
        <w:t>previa verificación de “</w:t>
      </w:r>
      <w:r w:rsidR="0E2622D4" w:rsidRPr="003040F3">
        <w:rPr>
          <w:rFonts w:eastAsia="Work Sans" w:cs="Work Sans"/>
          <w:i/>
          <w:iCs/>
          <w:color w:val="000000" w:themeColor="text1"/>
          <w:szCs w:val="24"/>
        </w:rPr>
        <w:t>(…) la operatividad de los sistemas solares fotovoltaicos (…) y confirma su capacidad para las actividades de Administración, Operación, Mantenimiento (AOM).”</w:t>
      </w:r>
      <w:r w:rsidR="493FB37E" w:rsidRPr="768BB4C7">
        <w:rPr>
          <w:rFonts w:eastAsia="Work Sans" w:cs="Work Sans"/>
          <w:i/>
          <w:iCs/>
          <w:color w:val="000000" w:themeColor="text1"/>
          <w:szCs w:val="24"/>
        </w:rPr>
        <w:t xml:space="preserve">, </w:t>
      </w:r>
      <w:r w:rsidR="003C189A">
        <w:t xml:space="preserve"> mediante </w:t>
      </w:r>
      <w:r w:rsidR="007C1DA5">
        <w:t xml:space="preserve">acta de entrega de infraestructura </w:t>
      </w:r>
      <w:r w:rsidR="003C189A">
        <w:t xml:space="preserve">suscrita el </w:t>
      </w:r>
      <w:r w:rsidR="007C1DA5">
        <w:t>22</w:t>
      </w:r>
      <w:r w:rsidR="003C189A">
        <w:t xml:space="preserve"> de </w:t>
      </w:r>
      <w:r w:rsidR="007C1DA5">
        <w:t>enero</w:t>
      </w:r>
      <w:r w:rsidR="003C189A">
        <w:t xml:space="preserve"> de 20</w:t>
      </w:r>
      <w:r w:rsidR="007C1DA5">
        <w:t>21</w:t>
      </w:r>
      <w:r w:rsidR="003C189A">
        <w:t xml:space="preserve"> (</w:t>
      </w:r>
      <w:r w:rsidR="003C189A" w:rsidRPr="768BB4C7">
        <w:rPr>
          <w:b/>
          <w:bCs/>
        </w:rPr>
        <w:t xml:space="preserve">Anexo </w:t>
      </w:r>
      <w:r w:rsidR="0633C949" w:rsidRPr="768BB4C7">
        <w:rPr>
          <w:b/>
          <w:bCs/>
        </w:rPr>
        <w:t xml:space="preserve">No. </w:t>
      </w:r>
      <w:r w:rsidR="00E02F04">
        <w:rPr>
          <w:b/>
          <w:bCs/>
        </w:rPr>
        <w:t>4</w:t>
      </w:r>
      <w:r w:rsidR="003C189A">
        <w:t>)</w:t>
      </w:r>
      <w:r w:rsidR="007C1DA5">
        <w:t>.</w:t>
      </w:r>
    </w:p>
    <w:p w14:paraId="7F13BDB4" w14:textId="208A9114" w:rsidR="00696975" w:rsidRDefault="496EBD7F">
      <w:pPr>
        <w:rPr>
          <w:rFonts w:eastAsia="Work Sans" w:cs="Work Sans"/>
          <w:szCs w:val="24"/>
        </w:rPr>
      </w:pPr>
      <w:r w:rsidRPr="003040F3">
        <w:rPr>
          <w:rFonts w:eastAsia="Work Sans" w:cs="Work Sans"/>
          <w:color w:val="000000" w:themeColor="text1"/>
          <w:szCs w:val="24"/>
        </w:rPr>
        <w:t>En igual sentido, el día 01 de junio de 2022, Alcaldía de Puerto Carreño, Vichada, aclaró que: “</w:t>
      </w:r>
      <w:r w:rsidRPr="003040F3">
        <w:rPr>
          <w:rFonts w:eastAsia="Work Sans" w:cs="Work Sans"/>
          <w:i/>
          <w:iCs/>
          <w:color w:val="000000" w:themeColor="text1"/>
          <w:szCs w:val="24"/>
        </w:rPr>
        <w:t xml:space="preserve">(…) el Operador las SOLUCIONES ENERGETICAS INSTALADAS PARA BENEFICIAR A 151 VIVIENDAS EN ZONAS NO INTERCONECTADAS EN EL MUNICIPIO DE PUERTO CARRENO – VICHADA es la EMPRESA PRESTADORA DE SERVICIOS PUBLICOS DE ENERGIA GAS Y TELECOMUNICACIONES SAS ESP. Se garantiza que estos activos están bajo custodia, administración, operación, mantenimiento y funcionamiento a través de su operador, quien sustituyo las obligaciones de AOM por parte de la administración municipal y esta designada desde el veintidós (22) de enero del dos </w:t>
      </w:r>
      <w:r w:rsidRPr="768BB4C7">
        <w:rPr>
          <w:rFonts w:eastAsia="Work Sans" w:cs="Work Sans"/>
          <w:i/>
          <w:iCs/>
          <w:color w:val="000000" w:themeColor="text1"/>
          <w:szCs w:val="24"/>
        </w:rPr>
        <w:t>mil veintiuno</w:t>
      </w:r>
      <w:r w:rsidRPr="003040F3">
        <w:rPr>
          <w:rFonts w:eastAsia="Work Sans" w:cs="Work Sans"/>
          <w:i/>
          <w:iCs/>
          <w:color w:val="000000" w:themeColor="text1"/>
          <w:szCs w:val="24"/>
        </w:rPr>
        <w:t xml:space="preserve"> (2021). (…).</w:t>
      </w:r>
      <w:r w:rsidRPr="003040F3">
        <w:rPr>
          <w:rFonts w:eastAsia="Work Sans" w:cs="Work Sans"/>
          <w:color w:val="000000" w:themeColor="text1"/>
          <w:szCs w:val="24"/>
        </w:rPr>
        <w:t xml:space="preserve"> ”. (</w:t>
      </w:r>
      <w:r w:rsidRPr="003040F3">
        <w:rPr>
          <w:rFonts w:eastAsia="Work Sans" w:cs="Work Sans"/>
          <w:b/>
          <w:bCs/>
          <w:color w:val="000000" w:themeColor="text1"/>
          <w:szCs w:val="24"/>
        </w:rPr>
        <w:t xml:space="preserve">Anexo No. </w:t>
      </w:r>
      <w:r w:rsidR="00E02F04">
        <w:rPr>
          <w:rFonts w:eastAsia="Work Sans" w:cs="Work Sans"/>
          <w:b/>
          <w:bCs/>
          <w:color w:val="000000" w:themeColor="text1"/>
          <w:szCs w:val="24"/>
        </w:rPr>
        <w:t>5</w:t>
      </w:r>
      <w:r w:rsidRPr="003040F3">
        <w:rPr>
          <w:rFonts w:eastAsia="Work Sans" w:cs="Work Sans"/>
          <w:color w:val="000000" w:themeColor="text1"/>
          <w:szCs w:val="24"/>
        </w:rPr>
        <w:t>).</w:t>
      </w:r>
    </w:p>
    <w:p w14:paraId="6921A52F" w14:textId="35F40B2B" w:rsidR="00696975" w:rsidRPr="003040F3" w:rsidRDefault="4F6B493E" w:rsidP="768BB4C7">
      <w:r w:rsidRPr="003040F3">
        <w:rPr>
          <w:rFonts w:eastAsia="Work Sans" w:cs="Work Sans"/>
          <w:szCs w:val="24"/>
        </w:rPr>
        <w:t xml:space="preserve">Al margen de lo anterior, es importante recordar que, </w:t>
      </w:r>
      <w:r w:rsidR="00477B26" w:rsidRPr="003040F3">
        <w:t xml:space="preserve"> en cumplimiento de los compromisos adquiridos en el acta de entrega de los activos</w:t>
      </w:r>
      <w:r w:rsidR="533D84B0" w:rsidRPr="003040F3">
        <w:t xml:space="preserve"> del </w:t>
      </w:r>
      <w:r w:rsidR="533D84B0" w:rsidRPr="003040F3">
        <w:rPr>
          <w:rFonts w:cs="Arial"/>
        </w:rPr>
        <w:t>11 de julio de 2019 (</w:t>
      </w:r>
      <w:r w:rsidR="533D84B0" w:rsidRPr="003040F3">
        <w:rPr>
          <w:rFonts w:cs="Arial"/>
          <w:b/>
          <w:bCs/>
        </w:rPr>
        <w:t>Anexo No. 1</w:t>
      </w:r>
      <w:r w:rsidR="533D84B0" w:rsidRPr="003040F3">
        <w:rPr>
          <w:rFonts w:cs="Arial"/>
        </w:rPr>
        <w:t>)</w:t>
      </w:r>
      <w:r w:rsidR="00477B26" w:rsidRPr="003040F3">
        <w:t xml:space="preserve"> a la Alcaldía,</w:t>
      </w:r>
      <w:r w:rsidR="00696975" w:rsidRPr="003040F3">
        <w:t xml:space="preserve"> e</w:t>
      </w:r>
      <w:r w:rsidR="6C523E04" w:rsidRPr="003040F3">
        <w:t>ste</w:t>
      </w:r>
      <w:r w:rsidR="00696975" w:rsidRPr="003040F3">
        <w:t xml:space="preserve"> Ministerio </w:t>
      </w:r>
      <w:r w:rsidR="353B4FC5" w:rsidRPr="003040F3">
        <w:t xml:space="preserve">remitió </w:t>
      </w:r>
      <w:r w:rsidR="353B4FC5" w:rsidRPr="003040F3">
        <w:rPr>
          <w:rFonts w:eastAsia="Work Sans" w:cs="Work Sans"/>
          <w:szCs w:val="24"/>
        </w:rPr>
        <w:t xml:space="preserve">el documento de proyección de estudios previos para la suscripción de la etapa AOM derivada del contrato </w:t>
      </w:r>
      <w:r w:rsidR="353B4FC5" w:rsidRPr="003040F3">
        <w:rPr>
          <w:rFonts w:eastAsia="Work Sans" w:cs="Work Sans"/>
          <w:b/>
          <w:bCs/>
          <w:szCs w:val="24"/>
        </w:rPr>
        <w:t xml:space="preserve">FAZNI GGC 614 (IPSE 108) de 2017, </w:t>
      </w:r>
      <w:r w:rsidR="353B4FC5" w:rsidRPr="003040F3">
        <w:rPr>
          <w:rFonts w:eastAsia="Work Sans" w:cs="Work Sans"/>
          <w:szCs w:val="24"/>
        </w:rPr>
        <w:t>a la Alcaldía de Puerto Carreño, Vichada, mediante radicado No. 2-2025-049</w:t>
      </w:r>
      <w:r w:rsidR="1AC83AB0" w:rsidRPr="003040F3">
        <w:rPr>
          <w:rFonts w:eastAsia="Work Sans" w:cs="Work Sans"/>
          <w:szCs w:val="24"/>
        </w:rPr>
        <w:t>168</w:t>
      </w:r>
      <w:r w:rsidR="353B4FC5" w:rsidRPr="003040F3">
        <w:rPr>
          <w:rFonts w:eastAsia="Work Sans" w:cs="Work Sans"/>
          <w:szCs w:val="24"/>
        </w:rPr>
        <w:t xml:space="preserve"> del </w:t>
      </w:r>
      <w:r w:rsidR="02A7087A" w:rsidRPr="003040F3">
        <w:rPr>
          <w:rFonts w:eastAsia="Work Sans" w:cs="Work Sans"/>
          <w:szCs w:val="24"/>
        </w:rPr>
        <w:t>23</w:t>
      </w:r>
      <w:r w:rsidR="353B4FC5" w:rsidRPr="003040F3">
        <w:rPr>
          <w:rFonts w:eastAsia="Work Sans" w:cs="Work Sans"/>
          <w:szCs w:val="24"/>
        </w:rPr>
        <w:t xml:space="preserve"> de octubre de 2025 AOM (</w:t>
      </w:r>
      <w:r w:rsidR="353B4FC5" w:rsidRPr="003040F3">
        <w:rPr>
          <w:rFonts w:eastAsia="Work Sans" w:cs="Work Sans"/>
          <w:b/>
          <w:bCs/>
          <w:szCs w:val="24"/>
        </w:rPr>
        <w:t xml:space="preserve">Anexo No. </w:t>
      </w:r>
      <w:r w:rsidR="00E02F04">
        <w:rPr>
          <w:rFonts w:eastAsia="Work Sans" w:cs="Work Sans"/>
          <w:b/>
          <w:bCs/>
          <w:szCs w:val="24"/>
        </w:rPr>
        <w:t>6</w:t>
      </w:r>
      <w:r w:rsidR="353B4FC5" w:rsidRPr="003040F3">
        <w:rPr>
          <w:rFonts w:eastAsia="Work Sans" w:cs="Work Sans"/>
          <w:szCs w:val="24"/>
        </w:rPr>
        <w:t xml:space="preserve">), sin que se obtuviera respuesta alguna por parte del ente territorial.   </w:t>
      </w:r>
      <w:r w:rsidR="353B4FC5" w:rsidRPr="003040F3">
        <w:t xml:space="preserve"> </w:t>
      </w:r>
    </w:p>
    <w:p w14:paraId="7F5BC62E" w14:textId="263B9D31" w:rsidR="00696975" w:rsidRDefault="003040F3" w:rsidP="768BB4C7">
      <w:pPr>
        <w:rPr>
          <w:rFonts w:eastAsia="Work Sans" w:cs="Work Sans"/>
          <w:szCs w:val="24"/>
        </w:rPr>
      </w:pPr>
      <w:r w:rsidRPr="003040F3">
        <w:rPr>
          <w:rFonts w:eastAsia="Work Sans" w:cs="Work Sans"/>
          <w:szCs w:val="24"/>
        </w:rPr>
        <w:t xml:space="preserve">Por lo tanto, </w:t>
      </w:r>
      <w:r w:rsidR="2CDA6827" w:rsidRPr="003040F3">
        <w:rPr>
          <w:rFonts w:eastAsia="Work Sans" w:cs="Work Sans"/>
          <w:szCs w:val="24"/>
        </w:rPr>
        <w:t xml:space="preserve">dado que no se ha logrado la suscripción del contrato AOM directamente con la Alcaldía de Puerto </w:t>
      </w:r>
      <w:r w:rsidR="154ED23D" w:rsidRPr="003040F3">
        <w:rPr>
          <w:rFonts w:eastAsia="Work Sans" w:cs="Work Sans"/>
          <w:szCs w:val="24"/>
        </w:rPr>
        <w:t>Carreño</w:t>
      </w:r>
      <w:r w:rsidR="2CDA6827" w:rsidRPr="003040F3">
        <w:rPr>
          <w:rFonts w:eastAsia="Work Sans" w:cs="Work Sans"/>
          <w:szCs w:val="24"/>
        </w:rPr>
        <w:t>,</w:t>
      </w:r>
      <w:r w:rsidR="0AF396D9" w:rsidRPr="003040F3">
        <w:rPr>
          <w:rFonts w:eastAsia="Work Sans" w:cs="Work Sans"/>
          <w:szCs w:val="24"/>
        </w:rPr>
        <w:t xml:space="preserve"> Vichada</w:t>
      </w:r>
      <w:r w:rsidR="2CDA6827" w:rsidRPr="003040F3">
        <w:rPr>
          <w:rFonts w:eastAsia="Work Sans" w:cs="Work Sans"/>
          <w:szCs w:val="24"/>
        </w:rPr>
        <w:t xml:space="preserve">, y en aras de garantizar la correcta prestación del servicio y operatividad de los activos derivados del contrato </w:t>
      </w:r>
      <w:r w:rsidR="2CDA6827" w:rsidRPr="003040F3">
        <w:rPr>
          <w:rFonts w:eastAsia="Work Sans" w:cs="Work Sans"/>
          <w:b/>
          <w:bCs/>
          <w:szCs w:val="24"/>
        </w:rPr>
        <w:t>FAZNI GGC 614 (IPSE 108) de 2017</w:t>
      </w:r>
      <w:r w:rsidR="2CDA6827" w:rsidRPr="003040F3">
        <w:rPr>
          <w:rFonts w:eastAsia="Work Sans" w:cs="Work Sans"/>
          <w:szCs w:val="24"/>
        </w:rPr>
        <w:t>,</w:t>
      </w:r>
      <w:r w:rsidR="2CDA6827" w:rsidRPr="003040F3">
        <w:rPr>
          <w:rFonts w:eastAsia="Work Sans" w:cs="Work Sans"/>
          <w:b/>
          <w:bCs/>
          <w:szCs w:val="24"/>
        </w:rPr>
        <w:t xml:space="preserve"> </w:t>
      </w:r>
      <w:r w:rsidRPr="00EF4E6C">
        <w:rPr>
          <w:rFonts w:eastAsia="Work Sans" w:cs="Work Sans"/>
          <w:szCs w:val="24"/>
        </w:rPr>
        <w:t xml:space="preserve">de conformidad con lo dispuesto en </w:t>
      </w:r>
      <w:r w:rsidRPr="00EF4E6C">
        <w:rPr>
          <w:rFonts w:eastAsia="Work Sans" w:cs="Work Sans"/>
          <w:szCs w:val="24"/>
        </w:rPr>
        <w:lastRenderedPageBreak/>
        <w:t xml:space="preserve">el </w:t>
      </w:r>
      <w:r w:rsidRPr="00B24F60">
        <w:rPr>
          <w:rFonts w:eastAsia="Work Sans" w:cs="Work Sans"/>
          <w:szCs w:val="24"/>
        </w:rPr>
        <w:t>artículo 288 de la Ley 1955 de 2019, e</w:t>
      </w:r>
      <w:r w:rsidRPr="00EF4E6C">
        <w:rPr>
          <w:rFonts w:eastAsia="Work Sans" w:cs="Work Sans"/>
          <w:szCs w:val="24"/>
        </w:rPr>
        <w:t>l Ministerio inició las actuaciones necesarias para la suscripción del contrato especial de AOM con la empresa</w:t>
      </w:r>
      <w:r w:rsidR="47DB5667" w:rsidRPr="003040F3">
        <w:rPr>
          <w:rFonts w:eastAsia="Work Sans" w:cs="Work Sans"/>
          <w:i/>
          <w:iCs/>
          <w:szCs w:val="24"/>
        </w:rPr>
        <w:t xml:space="preserve"> </w:t>
      </w:r>
      <w:r w:rsidR="00B24F60">
        <w:rPr>
          <w:rFonts w:eastAsia="Work Sans" w:cs="Work Sans"/>
          <w:b/>
          <w:bCs/>
          <w:szCs w:val="24"/>
        </w:rPr>
        <w:t>EGYT</w:t>
      </w:r>
      <w:r w:rsidR="47DB5667" w:rsidRPr="003040F3">
        <w:rPr>
          <w:rFonts w:eastAsia="Work Sans" w:cs="Work Sans"/>
          <w:b/>
          <w:bCs/>
          <w:szCs w:val="24"/>
        </w:rPr>
        <w:t xml:space="preserve"> S.A.S. E.S.P.,</w:t>
      </w:r>
      <w:r w:rsidR="47DB5667" w:rsidRPr="003040F3">
        <w:rPr>
          <w:rFonts w:eastAsia="Work Sans" w:cs="Work Sans"/>
          <w:szCs w:val="24"/>
        </w:rPr>
        <w:t xml:space="preserve"> la cual se encuentra actualmente prestando el servicio.</w:t>
      </w:r>
    </w:p>
    <w:p w14:paraId="33312E45" w14:textId="77777777" w:rsidR="002D7FB4" w:rsidRPr="002D7FB4" w:rsidRDefault="002D7FB4" w:rsidP="002D7FB4">
      <w:pPr>
        <w:ind w:left="708"/>
        <w:rPr>
          <w:rFonts w:eastAsia="Work Sans" w:cs="Work Sans"/>
          <w:i/>
          <w:iCs/>
        </w:rPr>
      </w:pPr>
      <w:r>
        <w:rPr>
          <w:rFonts w:eastAsia="Work Sans" w:cs="Work Sans"/>
          <w:i/>
          <w:iCs/>
          <w:szCs w:val="24"/>
        </w:rPr>
        <w:t>“</w:t>
      </w:r>
      <w:r w:rsidRPr="002D7FB4">
        <w:rPr>
          <w:rFonts w:eastAsia="Work Sans" w:cs="Work Sans"/>
          <w:b/>
          <w:bCs/>
          <w:i/>
          <w:iCs/>
        </w:rPr>
        <w:t>ARTÍCULO 288. SOLUCIONES ENERGÉTICAS PARA PROYECTOS DEL FONDO DE APOYO FINANCIERO PARA LA ENERGIZACIÓN DE LAS ZONAS NO INTERCONECTADAS - FAZNI.</w:t>
      </w:r>
      <w:r w:rsidRPr="002D7FB4">
        <w:rPr>
          <w:rFonts w:eastAsia="Work Sans" w:cs="Work Sans"/>
          <w:i/>
          <w:iCs/>
        </w:rPr>
        <w:t xml:space="preserve"> Las entidades territoriales o entes prestadores del servicio que soliciten recursos del FAZNI y/o al Instituto de Planificación y Promoción de Soluciones Energéticas para las Zonas No Interconectadas - IPSE para la implementación de soluciones energéticas, deberán ejecutar directa o indirectamente su administración, operación y mantenimiento, garantizando su sostenibilidad, durante el tiempo que se indique en el respectivo contrato. </w:t>
      </w:r>
      <w:r w:rsidRPr="00D02871">
        <w:rPr>
          <w:rFonts w:eastAsia="Work Sans" w:cs="Work Sans"/>
          <w:b/>
          <w:bCs/>
          <w:i/>
          <w:iCs/>
          <w:u w:val="single"/>
        </w:rPr>
        <w:t>Si transcurridos seis (6) meses a la terminación de la implementación de la solución energética, la entidad territorial o el prestador del servicio no recibe la infraestructura y no ha gestionado su administración, operación y mantenimiento, quien haga las veces de entidad contratante dará por terminado unilateralmente el respectivo contrato o carta compromisoria e iniciará la búsqueda de prestadores del servicio u operadores de red</w:t>
      </w:r>
      <w:r w:rsidRPr="002D7FB4">
        <w:rPr>
          <w:rFonts w:eastAsia="Work Sans" w:cs="Work Sans"/>
          <w:i/>
          <w:iCs/>
        </w:rPr>
        <w:t xml:space="preserve"> de la región que estén debidamente inscritos en el Sistema Único de Información -SUI, para que se encarguen de la administración, operación y mantenimiento de la solución energética, según el procedimiento que para el efecto defina el Ministerio de Minas y Energía.</w:t>
      </w:r>
    </w:p>
    <w:p w14:paraId="00C8E1D1" w14:textId="77777777" w:rsidR="002D7FB4" w:rsidRPr="002D7FB4" w:rsidRDefault="002D7FB4" w:rsidP="002D7FB4">
      <w:pPr>
        <w:ind w:left="708"/>
        <w:rPr>
          <w:rFonts w:eastAsia="Work Sans" w:cs="Work Sans"/>
          <w:i/>
          <w:iCs/>
          <w:szCs w:val="24"/>
        </w:rPr>
      </w:pPr>
      <w:r w:rsidRPr="002D7FB4">
        <w:rPr>
          <w:rFonts w:eastAsia="Work Sans" w:cs="Work Sans"/>
          <w:i/>
          <w:iCs/>
          <w:szCs w:val="24"/>
        </w:rPr>
        <w:t xml:space="preserve">La entidad territorial o el prestador que solicite el proyecto y no reciba la solución energética para su administración, operación y mantenimiento, garantizando su sostenibilidad, no podrá volver a acceder a recursos de FAZNI y/o del IPSE, por los siguientes cuatro años al no recibo de la solución. En caso de que la entidad territorial o el prestador del servicio subsanen la situación descrita, la entidad administradora de los recursos del FAZNI o el IPSE si son recursos de dicha entidad podrá modificar o exceptuar el cumplimiento de la medida a la que hace referencia este artículo, de conformidad con los requerimientos que para tal fin establezca el Ministerio de Minas y Energía. Dichos requerimientos podrán incluir, entre </w:t>
      </w:r>
      <w:r w:rsidRPr="002D7FB4">
        <w:rPr>
          <w:rFonts w:eastAsia="Work Sans" w:cs="Work Sans"/>
          <w:i/>
          <w:iCs/>
          <w:szCs w:val="24"/>
        </w:rPr>
        <w:lastRenderedPageBreak/>
        <w:t>otros, el pago de una compensación a favor de la entidad administradora del FAZNI o del IPSE, según corresponda, por parte de la entidad territorial o del prestador incumplido, o periodos de moratoria diferentes a los acá dispuestos para el acceso a los recursos.</w:t>
      </w:r>
    </w:p>
    <w:p w14:paraId="358BACC0" w14:textId="77777777" w:rsidR="002D7FB4" w:rsidRPr="002D7FB4" w:rsidRDefault="002D7FB4" w:rsidP="002D7FB4">
      <w:pPr>
        <w:ind w:left="708"/>
        <w:rPr>
          <w:rFonts w:eastAsia="Work Sans" w:cs="Work Sans"/>
          <w:i/>
          <w:iCs/>
          <w:szCs w:val="24"/>
        </w:rPr>
      </w:pPr>
      <w:r w:rsidRPr="002D7FB4">
        <w:rPr>
          <w:rFonts w:eastAsia="Work Sans" w:cs="Work Sans"/>
          <w:i/>
          <w:iCs/>
          <w:szCs w:val="24"/>
        </w:rPr>
        <w:t>Aquellas entidades territoriales o entes prestadores del servicio que se comprometieron a recibir la infraestructura para la administración, operación y mantenimiento de las soluciones energéticas con recursos del FAZNI o con recursos del IPSE, con antelación a la presente ley y que aún no lo han hecho, tendrán seis (6) meses a partir de la entrada en vigencia de esta ley, para recibirlas e iniciar su administración, operación y mantenimiento. Transcurrido dicho plazo, si la entidad territorial o el ente prestador del servicio no inicia la administración, operación y mantenimiento del proyecto, se aplicarán las medidas dispuestas en este artículo.</w:t>
      </w:r>
    </w:p>
    <w:p w14:paraId="4A6F0077" w14:textId="77777777" w:rsidR="002D7FB4" w:rsidRPr="002D7FB4" w:rsidRDefault="002D7FB4" w:rsidP="002D7FB4">
      <w:pPr>
        <w:ind w:left="708"/>
        <w:rPr>
          <w:rFonts w:eastAsia="Work Sans" w:cs="Work Sans"/>
          <w:i/>
          <w:iCs/>
          <w:szCs w:val="24"/>
        </w:rPr>
      </w:pPr>
      <w:r w:rsidRPr="002D7FB4">
        <w:rPr>
          <w:rFonts w:eastAsia="Work Sans" w:cs="Work Sans"/>
          <w:b/>
          <w:bCs/>
          <w:i/>
          <w:iCs/>
          <w:szCs w:val="24"/>
        </w:rPr>
        <w:t>PARÁGRAFO.</w:t>
      </w:r>
      <w:r w:rsidRPr="002D7FB4">
        <w:rPr>
          <w:rFonts w:eastAsia="Work Sans" w:cs="Work Sans"/>
          <w:i/>
          <w:iCs/>
          <w:szCs w:val="24"/>
        </w:rPr>
        <w:t xml:space="preserve"> Lo dispuesto en el presente Artículo, también aplica a respecto de cualquier fondo publica que destine recursos para la inversión en infraestructura eléctrica y ampliación de cobertura.</w:t>
      </w:r>
    </w:p>
    <w:p w14:paraId="315ABBDC" w14:textId="548FBE9B" w:rsidR="002D7FB4" w:rsidRPr="002D7FB4" w:rsidRDefault="002D7FB4" w:rsidP="002D7FB4">
      <w:pPr>
        <w:ind w:left="708"/>
        <w:rPr>
          <w:rFonts w:eastAsia="Work Sans" w:cs="Work Sans"/>
          <w:i/>
          <w:iCs/>
          <w:szCs w:val="24"/>
        </w:rPr>
      </w:pPr>
      <w:r w:rsidRPr="002D7FB4">
        <w:rPr>
          <w:rFonts w:eastAsia="Work Sans" w:cs="Work Sans"/>
          <w:i/>
          <w:iCs/>
          <w:szCs w:val="24"/>
        </w:rPr>
        <w:t xml:space="preserve">(Parágrafo adicionado por el Art. </w:t>
      </w:r>
      <w:hyperlink r:id="rId6" w:anchor="30" w:tgtFrame="_blank" w:tooltip="https://www.funcionpublica.gov.co/eva/gestornormativo/norma.php?i=166326#30" w:history="1">
        <w:r w:rsidRPr="002D7FB4">
          <w:rPr>
            <w:rStyle w:val="Hipervnculo"/>
            <w:rFonts w:eastAsia="Work Sans" w:cs="Work Sans"/>
            <w:i/>
            <w:iCs/>
            <w:szCs w:val="24"/>
          </w:rPr>
          <w:t>30</w:t>
        </w:r>
      </w:hyperlink>
      <w:r w:rsidRPr="002D7FB4">
        <w:rPr>
          <w:rFonts w:eastAsia="Work Sans" w:cs="Work Sans"/>
          <w:i/>
          <w:iCs/>
          <w:szCs w:val="24"/>
        </w:rPr>
        <w:t xml:space="preserve"> de la Ley 2099 de 2021)</w:t>
      </w:r>
      <w:r>
        <w:rPr>
          <w:rFonts w:eastAsia="Work Sans" w:cs="Work Sans"/>
          <w:i/>
          <w:iCs/>
          <w:szCs w:val="24"/>
        </w:rPr>
        <w:t>”</w:t>
      </w:r>
      <w:r w:rsidR="00D02871">
        <w:rPr>
          <w:rFonts w:eastAsia="Work Sans" w:cs="Work Sans"/>
          <w:i/>
          <w:iCs/>
          <w:szCs w:val="24"/>
        </w:rPr>
        <w:t xml:space="preserve"> </w:t>
      </w:r>
      <w:r w:rsidR="00D02871" w:rsidRPr="003040F3">
        <w:rPr>
          <w:rFonts w:cs="Arial"/>
          <w:sz w:val="22"/>
        </w:rPr>
        <w:t>(Negrita y subraya por fuera del texto original).</w:t>
      </w:r>
    </w:p>
    <w:p w14:paraId="4FA93C5B" w14:textId="19E3297D" w:rsidR="008129F1" w:rsidRDefault="00282CDF" w:rsidP="001A022C">
      <w:r w:rsidRPr="00EF4E6C">
        <w:t>En ese contexto</w:t>
      </w:r>
      <w:r>
        <w:t xml:space="preserve">, y </w:t>
      </w:r>
      <w:r w:rsidR="008129F1">
        <w:t xml:space="preserve">en virtud de lo establecido en el artículo 3 de la Resolución 40257 de 2022, </w:t>
      </w:r>
      <w:r>
        <w:t xml:space="preserve">que define los parámetros para  la acreditar la idoneidad, </w:t>
      </w:r>
      <w:r w:rsidR="008129F1">
        <w:t xml:space="preserve"> capacidad financiera y experiencia d</w:t>
      </w:r>
      <w:r>
        <w:t>e los prestadores del servicio que se comprometen a garantizar la sostenibilidad de proyectos eléctricos individuales en Zonas No Interconectadas (ZNI)</w:t>
      </w:r>
      <w:r w:rsidR="008129F1">
        <w:t>, se considera pertinente solicitar al Instituto de Planificación y Promoción de Soluciones Energéticas para las Zonas No Interconectadas</w:t>
      </w:r>
      <w:r w:rsidR="2BFAB753">
        <w:t>-</w:t>
      </w:r>
      <w:r w:rsidR="008129F1">
        <w:t>IPSE</w:t>
      </w:r>
      <w:r w:rsidR="5F617158">
        <w:t>-</w:t>
      </w:r>
      <w:r w:rsidR="008129F1">
        <w:t xml:space="preserve"> su apoyo con el fin de validar si</w:t>
      </w:r>
      <w:r w:rsidR="783BB777">
        <w:t>, actualmente,</w:t>
      </w:r>
      <w:r>
        <w:t xml:space="preserve"> </w:t>
      </w:r>
      <w:r w:rsidR="008129F1">
        <w:t xml:space="preserve">la empresa designada por la Alcaldía, </w:t>
      </w:r>
      <w:r w:rsidR="00B24F60">
        <w:rPr>
          <w:b/>
          <w:bCs/>
        </w:rPr>
        <w:t>EGYT</w:t>
      </w:r>
      <w:r w:rsidR="007C1DA5" w:rsidRPr="003040F3">
        <w:rPr>
          <w:b/>
          <w:bCs/>
        </w:rPr>
        <w:t xml:space="preserve"> S.A.S. E.S.P.</w:t>
      </w:r>
      <w:r w:rsidR="008129F1" w:rsidRPr="003040F3">
        <w:rPr>
          <w:b/>
          <w:bCs/>
        </w:rPr>
        <w:t>,</w:t>
      </w:r>
      <w:r w:rsidR="008129F1">
        <w:t xml:space="preserve"> cumple con los requisitos de idoneidad, experiencia y capacidad financiera establecidos en los artículos 4, 5 y 6 de la citada resolución para la operación de los activos construidos con el </w:t>
      </w:r>
      <w:r w:rsidR="53279205">
        <w:t>c</w:t>
      </w:r>
      <w:r w:rsidR="008129F1" w:rsidRPr="768BB4C7">
        <w:rPr>
          <w:rFonts w:cs="Arial"/>
        </w:rPr>
        <w:t xml:space="preserve">ontrato </w:t>
      </w:r>
      <w:r w:rsidR="00766FCA" w:rsidRPr="003040F3">
        <w:rPr>
          <w:rFonts w:cs="Arial"/>
          <w:b/>
          <w:bCs/>
        </w:rPr>
        <w:t>FAZNI</w:t>
      </w:r>
      <w:r w:rsidR="35607671" w:rsidRPr="003040F3">
        <w:rPr>
          <w:rFonts w:cs="Arial"/>
          <w:b/>
          <w:bCs/>
        </w:rPr>
        <w:t xml:space="preserve"> –</w:t>
      </w:r>
      <w:r w:rsidR="00766FCA" w:rsidRPr="003040F3">
        <w:rPr>
          <w:rFonts w:cs="Arial"/>
          <w:b/>
          <w:bCs/>
        </w:rPr>
        <w:t>GGC</w:t>
      </w:r>
      <w:r w:rsidR="35607671" w:rsidRPr="003040F3">
        <w:rPr>
          <w:rFonts w:cs="Arial"/>
          <w:b/>
          <w:bCs/>
        </w:rPr>
        <w:t xml:space="preserve"> </w:t>
      </w:r>
      <w:r w:rsidR="00766FCA" w:rsidRPr="003040F3">
        <w:rPr>
          <w:rFonts w:cs="Arial"/>
          <w:b/>
          <w:bCs/>
        </w:rPr>
        <w:t>614 (IPSE 108) de 2017</w:t>
      </w:r>
      <w:r w:rsidR="008129F1" w:rsidRPr="003040F3">
        <w:rPr>
          <w:b/>
          <w:bCs/>
        </w:rPr>
        <w:t>.</w:t>
      </w:r>
    </w:p>
    <w:p w14:paraId="7F5F1599" w14:textId="40545437" w:rsidR="00282CDF" w:rsidRPr="00334A46" w:rsidRDefault="00282CDF" w:rsidP="00282CDF">
      <w:pPr>
        <w:spacing w:line="240" w:lineRule="auto"/>
        <w:ind w:right="51"/>
        <w:contextualSpacing/>
        <w:rPr>
          <w:rFonts w:cs="Arial"/>
        </w:rPr>
      </w:pPr>
      <w:r w:rsidRPr="00334A46">
        <w:rPr>
          <w:rFonts w:cs="Arial"/>
        </w:rPr>
        <w:lastRenderedPageBreak/>
        <w:t xml:space="preserve">Para tal efecto, </w:t>
      </w:r>
      <w:r w:rsidRPr="00A01E31">
        <w:rPr>
          <w:rFonts w:cs="Arial"/>
        </w:rPr>
        <w:t xml:space="preserve">se pone a disposición del IPSE la documentación remitida por </w:t>
      </w:r>
      <w:r w:rsidR="00B24F60">
        <w:rPr>
          <w:rFonts w:cs="Arial"/>
          <w:b/>
          <w:bCs/>
        </w:rPr>
        <w:t>EGYT</w:t>
      </w:r>
      <w:r w:rsidRPr="00A01E31">
        <w:rPr>
          <w:rFonts w:cs="Arial"/>
          <w:b/>
          <w:bCs/>
        </w:rPr>
        <w:t xml:space="preserve"> S.A.S. E.S.P.</w:t>
      </w:r>
      <w:r w:rsidR="00E02F04">
        <w:rPr>
          <w:rFonts w:cs="Arial"/>
        </w:rPr>
        <w:t xml:space="preserve"> </w:t>
      </w:r>
      <w:r w:rsidR="00BF2246">
        <w:rPr>
          <w:rFonts w:cs="Arial"/>
        </w:rPr>
        <w:t>y los anexos relacionados</w:t>
      </w:r>
      <w:r w:rsidR="00BF2246" w:rsidRPr="00A01E31">
        <w:rPr>
          <w:rFonts w:cs="Arial"/>
        </w:rPr>
        <w:t>, a través del siguiente</w:t>
      </w:r>
      <w:r w:rsidR="00BF2246">
        <w:rPr>
          <w:rFonts w:cs="Arial"/>
        </w:rPr>
        <w:t xml:space="preserve"> </w:t>
      </w:r>
      <w:hyperlink r:id="rId7" w:history="1">
        <w:r w:rsidR="00BF2246" w:rsidRPr="00BF2246">
          <w:rPr>
            <w:rStyle w:val="Hipervnculo"/>
            <w:rFonts w:cs="Arial"/>
          </w:rPr>
          <w:t>Anexos_FAZNI 614 2017</w:t>
        </w:r>
      </w:hyperlink>
      <w:r w:rsidRPr="00334A46">
        <w:rPr>
          <w:rFonts w:cs="Arial"/>
        </w:rPr>
        <w:t xml:space="preserve">, con el propósito de que el IPSE adelante la correspondiente verificación y emita el concepto que estime pertinente. La respuesta podrá ser remitida a los correos electrónicos kahernandez@minenergia.gov.co y karonderos@minenergia.gov.co, con copia para radicación oficial en el Ministerio de Minas y Energía al correo </w:t>
      </w:r>
      <w:hyperlink r:id="rId8" w:history="1">
        <w:r w:rsidRPr="00334A46">
          <w:rPr>
            <w:rStyle w:val="Hipervnculo"/>
            <w:rFonts w:cs="Arial"/>
            <w:color w:val="auto"/>
            <w:u w:val="none"/>
          </w:rPr>
          <w:t>menergia@minenergia.gov.co</w:t>
        </w:r>
      </w:hyperlink>
      <w:r w:rsidRPr="00334A46">
        <w:rPr>
          <w:rFonts w:cs="Arial"/>
        </w:rPr>
        <w:t xml:space="preserve">. </w:t>
      </w:r>
    </w:p>
    <w:p w14:paraId="7DCC8FE8" w14:textId="77777777" w:rsidR="00282CDF" w:rsidRPr="00334A46" w:rsidRDefault="00282CDF" w:rsidP="00282CDF">
      <w:pPr>
        <w:spacing w:line="240" w:lineRule="auto"/>
        <w:ind w:right="51"/>
        <w:contextualSpacing/>
        <w:rPr>
          <w:rFonts w:cs="Arial"/>
        </w:rPr>
      </w:pPr>
    </w:p>
    <w:p w14:paraId="2BB9A4E7" w14:textId="77777777" w:rsidR="00282CDF" w:rsidRPr="00334A46" w:rsidRDefault="00282CDF" w:rsidP="00282CDF">
      <w:pPr>
        <w:spacing w:line="240" w:lineRule="auto"/>
        <w:ind w:right="51"/>
        <w:contextualSpacing/>
      </w:pPr>
      <w:r w:rsidRPr="00334A46">
        <w:t xml:space="preserve">En caso de requerirse aclaraciones, información adicional o la complementación de la documentación aportada, estas podrán ser solicitadas a través del correo electrónico </w:t>
      </w:r>
      <w:hyperlink r:id="rId9" w:history="1">
        <w:r w:rsidRPr="00334A46">
          <w:rPr>
            <w:rStyle w:val="Hipervnculo"/>
            <w:color w:val="auto"/>
            <w:u w:val="none"/>
          </w:rPr>
          <w:t>kahernandez@minenergia.gov.co</w:t>
        </w:r>
      </w:hyperlink>
      <w:r>
        <w:t xml:space="preserve">, </w:t>
      </w:r>
      <w:r w:rsidRPr="00334A46">
        <w:t>con el fin de brindar una atención más oportuna y ágil a los requerimientos que se presenten.</w:t>
      </w:r>
    </w:p>
    <w:p w14:paraId="34A00399" w14:textId="77777777" w:rsidR="00484A5A" w:rsidRDefault="00484A5A" w:rsidP="00484A5A">
      <w:pPr>
        <w:spacing w:line="240" w:lineRule="auto"/>
        <w:ind w:right="51"/>
        <w:contextualSpacing/>
        <w:rPr>
          <w:rFonts w:cs="Arial"/>
          <w:highlight w:val="yellow"/>
        </w:rPr>
      </w:pPr>
    </w:p>
    <w:p w14:paraId="7F631C2F" w14:textId="79B6CD56" w:rsidR="00484A5A" w:rsidRPr="00640E5A" w:rsidRDefault="00484A5A" w:rsidP="00484A5A">
      <w:pPr>
        <w:spacing w:line="240" w:lineRule="auto"/>
        <w:ind w:right="51"/>
        <w:contextualSpacing/>
        <w:rPr>
          <w:rFonts w:cs="Arial"/>
        </w:rPr>
      </w:pPr>
      <w:r w:rsidRPr="00640E5A">
        <w:rPr>
          <w:rFonts w:cs="Arial"/>
        </w:rPr>
        <w:t>Cordialmente,</w:t>
      </w:r>
    </w:p>
    <w:p w14:paraId="587D12C3" w14:textId="77777777" w:rsidR="00DE1913" w:rsidRDefault="00DE1913">
      <w:pPr>
        <w:spacing w:line="240" w:lineRule="auto"/>
        <w:ind w:right="51"/>
        <w:contextualSpacing/>
        <w:rPr>
          <w:rFonts w:cs="Arial"/>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rsidP="00504F90">
            <w:pPr>
              <w:widowControl w:val="0"/>
              <w:spacing w:after="0"/>
              <w:jc w:val="left"/>
              <w:rPr>
                <w:szCs w:val="24"/>
              </w:rPr>
            </w:pPr>
            <w:r w:rsidRPr="00F94C11">
              <w:rPr>
                <w:rFonts w:cs="Arial"/>
                <w:szCs w:val="24"/>
              </w:rPr>
              <w:t>Tabla_Firmantes</w:t>
            </w:r>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rsidP="00504F90">
      <w:pPr>
        <w:spacing w:after="0"/>
        <w:jc w:val="left"/>
        <w:rPr>
          <w:sz w:val="16"/>
          <w:szCs w:val="16"/>
        </w:rPr>
      </w:pPr>
      <w:r>
        <w:rPr>
          <w:sz w:val="16"/>
          <w:szCs w:val="16"/>
        </w:rPr>
        <w:t>ley_texto</w:t>
      </w:r>
    </w:p>
    <w:p w14:paraId="5F6C3CB9" w14:textId="77777777" w:rsidR="00DE1913" w:rsidRDefault="003B2B73" w:rsidP="00504F90">
      <w:pPr>
        <w:spacing w:after="0"/>
        <w:jc w:val="left"/>
        <w:rPr>
          <w:sz w:val="16"/>
          <w:szCs w:val="16"/>
        </w:rPr>
      </w:pPr>
      <w:r>
        <w:rPr>
          <w:sz w:val="16"/>
          <w:szCs w:val="16"/>
        </w:rPr>
        <w:t xml:space="preserve">copias_r </w:t>
      </w:r>
    </w:p>
    <w:p w14:paraId="56626830" w14:textId="77777777" w:rsidR="00DE1913" w:rsidRDefault="003B2B73" w:rsidP="00504F90">
      <w:pPr>
        <w:spacing w:after="0"/>
        <w:jc w:val="left"/>
        <w:rPr>
          <w:sz w:val="16"/>
          <w:szCs w:val="16"/>
        </w:rPr>
      </w:pPr>
      <w:r>
        <w:rPr>
          <w:rFonts w:eastAsia="Times New Roman" w:cs="Times New Roman"/>
          <w:spacing w:val="-3"/>
          <w:sz w:val="16"/>
          <w:szCs w:val="16"/>
          <w:lang w:val="es-ES_tradnl" w:eastAsia="es-ES"/>
        </w:rPr>
        <w:t>rad_padre</w:t>
      </w:r>
    </w:p>
    <w:p w14:paraId="1843D142" w14:textId="77777777" w:rsidR="00DE1913" w:rsidRDefault="003B2B73" w:rsidP="00504F90">
      <w:pPr>
        <w:spacing w:after="0"/>
        <w:jc w:val="left"/>
        <w:rPr>
          <w:sz w:val="16"/>
          <w:szCs w:val="16"/>
        </w:rPr>
      </w:pPr>
      <w:r>
        <w:rPr>
          <w:rFonts w:eastAsia="Times New Roman" w:cs="Times New Roman"/>
          <w:spacing w:val="-3"/>
          <w:sz w:val="16"/>
          <w:szCs w:val="16"/>
          <w:lang w:val="es-ES_tradnl" w:eastAsia="es-ES"/>
        </w:rPr>
        <w:t>anexo_r</w:t>
      </w:r>
    </w:p>
    <w:p w14:paraId="7CBF7FF4" w14:textId="77777777" w:rsidR="00DE1913" w:rsidRDefault="003B2B73" w:rsidP="00504F90">
      <w:pPr>
        <w:spacing w:after="0"/>
        <w:jc w:val="left"/>
      </w:pPr>
      <w:r>
        <w:rPr>
          <w:sz w:val="16"/>
          <w:szCs w:val="16"/>
        </w:rPr>
        <w:t>Elaboró: res_proyecto</w:t>
      </w:r>
      <w:r>
        <w:rPr>
          <w:sz w:val="16"/>
          <w:szCs w:val="16"/>
          <w:lang w:val="es-ES"/>
        </w:rPr>
        <w:br/>
      </w:r>
      <w:r>
        <w:rPr>
          <w:sz w:val="16"/>
          <w:szCs w:val="16"/>
        </w:rPr>
        <w:t>Revisó: res_reviso</w:t>
      </w:r>
      <w:r>
        <w:rPr>
          <w:sz w:val="16"/>
          <w:szCs w:val="16"/>
        </w:rPr>
        <w:br/>
        <w:t>Aprobó: res_aprobacion</w:t>
      </w:r>
    </w:p>
    <w:sectPr w:rsidR="00DE1913">
      <w:headerReference w:type="default" r:id="rId10"/>
      <w:footerReference w:type="default" r:id="rId11"/>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DFF20" w14:textId="77777777" w:rsidR="00781F14" w:rsidRDefault="00781F14">
      <w:pPr>
        <w:spacing w:after="0" w:line="240" w:lineRule="auto"/>
      </w:pPr>
      <w:r>
        <w:separator/>
      </w:r>
    </w:p>
  </w:endnote>
  <w:endnote w:type="continuationSeparator" w:id="0">
    <w:p w14:paraId="0ED2DA3B" w14:textId="77777777" w:rsidR="00781F14" w:rsidRDefault="00781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Work Sans">
    <w:altName w:val="Work Sans"/>
    <w:charset w:val="00"/>
    <w:family w:val="auto"/>
    <w:pitch w:val="variable"/>
    <w:sig w:usb0="A00000FF" w:usb1="5000E07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84913" w14:textId="77777777" w:rsidR="00781F14" w:rsidRDefault="00781F14">
      <w:pPr>
        <w:spacing w:after="0" w:line="240" w:lineRule="auto"/>
      </w:pPr>
      <w:r>
        <w:separator/>
      </w:r>
    </w:p>
  </w:footnote>
  <w:footnote w:type="continuationSeparator" w:id="0">
    <w:p w14:paraId="404A891D" w14:textId="77777777" w:rsidR="00781F14" w:rsidRDefault="00781F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eastAsia="Arial Unicode MS" w:cs="Arial"/>
            <w:bCs/>
            <w:sz w:val="18"/>
            <w:szCs w:val="36"/>
            <w:lang w:val="es-ES"/>
          </w:rPr>
        </w:pPr>
      </w:p>
      <w:p w14:paraId="2F5A2795" w14:textId="69E4EEB2" w:rsidR="00DE1913" w:rsidRDefault="003B2B73">
        <w:pPr>
          <w:pStyle w:val="Encabezado"/>
          <w:jc w:val="right"/>
        </w:pPr>
        <w:r>
          <w:rPr>
            <w:rFonts w:eastAsia="Arial Unicode MS" w:cs="Arial"/>
            <w:bCs/>
            <w:sz w:val="18"/>
            <w:szCs w:val="36"/>
            <w:lang w:val="es-ES"/>
          </w:rPr>
          <w:t xml:space="preserve">Página </w:t>
        </w:r>
        <w:r>
          <w:rPr>
            <w:rFonts w:eastAsia="Arial Unicode MS" w:cs="Arial"/>
            <w:b/>
            <w:bCs/>
            <w:sz w:val="18"/>
            <w:szCs w:val="24"/>
            <w:lang w:val="es-ES"/>
          </w:rPr>
          <w:fldChar w:fldCharType="begin"/>
        </w:r>
        <w:r>
          <w:rPr>
            <w:rFonts w:eastAsia="Arial Unicode MS" w:cs="Arial"/>
            <w:b/>
            <w:bCs/>
            <w:sz w:val="18"/>
            <w:szCs w:val="24"/>
            <w:lang w:val="es-ES"/>
          </w:rPr>
          <w:instrText>PAGE</w:instrText>
        </w:r>
        <w:r>
          <w:rPr>
            <w:rFonts w:eastAsia="Arial Unicode MS" w:cs="Arial"/>
            <w:b/>
            <w:bCs/>
            <w:sz w:val="18"/>
            <w:szCs w:val="24"/>
            <w:lang w:val="es-ES"/>
          </w:rPr>
          <w:fldChar w:fldCharType="separate"/>
        </w:r>
        <w:r w:rsidR="00DC7B37">
          <w:rPr>
            <w:rFonts w:eastAsia="Arial Unicode MS" w:cs="Arial"/>
            <w:b/>
            <w:bCs/>
            <w:noProof/>
            <w:sz w:val="18"/>
            <w:szCs w:val="24"/>
            <w:lang w:val="es-ES"/>
          </w:rPr>
          <w:t>1</w:t>
        </w:r>
        <w:r>
          <w:rPr>
            <w:rFonts w:eastAsia="Arial Unicode MS" w:cs="Arial"/>
            <w:b/>
            <w:bCs/>
            <w:sz w:val="18"/>
            <w:szCs w:val="24"/>
            <w:lang w:val="es-ES"/>
          </w:rPr>
          <w:fldChar w:fldCharType="end"/>
        </w:r>
        <w:r>
          <w:rPr>
            <w:rFonts w:eastAsia="Arial Unicode MS" w:cs="Arial"/>
            <w:bCs/>
            <w:sz w:val="18"/>
            <w:szCs w:val="36"/>
            <w:lang w:val="es-ES"/>
          </w:rPr>
          <w:t xml:space="preserve"> de </w:t>
        </w:r>
        <w:r>
          <w:rPr>
            <w:rFonts w:eastAsia="Arial Unicode MS" w:cs="Arial"/>
            <w:b/>
            <w:bCs/>
            <w:sz w:val="18"/>
            <w:szCs w:val="24"/>
            <w:lang w:val="es-ES"/>
          </w:rPr>
          <w:fldChar w:fldCharType="begin"/>
        </w:r>
        <w:r>
          <w:rPr>
            <w:rFonts w:eastAsia="Arial Unicode MS" w:cs="Arial"/>
            <w:b/>
            <w:bCs/>
            <w:sz w:val="18"/>
            <w:szCs w:val="24"/>
            <w:lang w:val="es-ES"/>
          </w:rPr>
          <w:instrText>NUMPAGES</w:instrText>
        </w:r>
        <w:r>
          <w:rPr>
            <w:rFonts w:eastAsia="Arial Unicode MS" w:cs="Arial"/>
            <w:b/>
            <w:bCs/>
            <w:sz w:val="18"/>
            <w:szCs w:val="24"/>
            <w:lang w:val="es-ES"/>
          </w:rPr>
          <w:fldChar w:fldCharType="separate"/>
        </w:r>
        <w:r w:rsidR="00DC7B37">
          <w:rPr>
            <w:rFonts w:eastAsia="Arial Unicode MS" w:cs="Arial"/>
            <w:b/>
            <w:bCs/>
            <w:noProof/>
            <w:sz w:val="18"/>
            <w:szCs w:val="24"/>
            <w:lang w:val="es-ES"/>
          </w:rPr>
          <w:t>1</w:t>
        </w:r>
        <w:r>
          <w:rPr>
            <w:rFonts w:eastAsia="Arial Unicode M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cs="Arial"/>
            <w:sz w:val="18"/>
            <w:szCs w:val="20"/>
          </w:rPr>
        </w:pPr>
        <w:r>
          <w:rPr>
            <w:rFonts w:eastAsia="Arial Unicode M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eastAsia="Arial Unicode M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633E2"/>
    <w:rsid w:val="00086E41"/>
    <w:rsid w:val="000D6651"/>
    <w:rsid w:val="000D69C7"/>
    <w:rsid w:val="00134123"/>
    <w:rsid w:val="0016F663"/>
    <w:rsid w:val="001818F1"/>
    <w:rsid w:val="001A022C"/>
    <w:rsid w:val="002478C2"/>
    <w:rsid w:val="00262ACE"/>
    <w:rsid w:val="00273BCC"/>
    <w:rsid w:val="00282CDF"/>
    <w:rsid w:val="002B6E98"/>
    <w:rsid w:val="002D7FB4"/>
    <w:rsid w:val="003040F3"/>
    <w:rsid w:val="003121A9"/>
    <w:rsid w:val="00317A99"/>
    <w:rsid w:val="00353CF1"/>
    <w:rsid w:val="003B2B73"/>
    <w:rsid w:val="003C189A"/>
    <w:rsid w:val="0041407A"/>
    <w:rsid w:val="00465D9A"/>
    <w:rsid w:val="00477B26"/>
    <w:rsid w:val="00484A5A"/>
    <w:rsid w:val="00496E70"/>
    <w:rsid w:val="00504F90"/>
    <w:rsid w:val="005225C6"/>
    <w:rsid w:val="0052795A"/>
    <w:rsid w:val="005617AA"/>
    <w:rsid w:val="005646C4"/>
    <w:rsid w:val="00576D2B"/>
    <w:rsid w:val="00603E7D"/>
    <w:rsid w:val="00605420"/>
    <w:rsid w:val="00632C43"/>
    <w:rsid w:val="00637D13"/>
    <w:rsid w:val="00640E5A"/>
    <w:rsid w:val="00654F84"/>
    <w:rsid w:val="00696975"/>
    <w:rsid w:val="006F3788"/>
    <w:rsid w:val="00703A12"/>
    <w:rsid w:val="00766FCA"/>
    <w:rsid w:val="00781F14"/>
    <w:rsid w:val="007A5A72"/>
    <w:rsid w:val="007C1DA5"/>
    <w:rsid w:val="007F049B"/>
    <w:rsid w:val="008129F1"/>
    <w:rsid w:val="0081364E"/>
    <w:rsid w:val="00830730"/>
    <w:rsid w:val="0088308F"/>
    <w:rsid w:val="00892C0E"/>
    <w:rsid w:val="008E4ABF"/>
    <w:rsid w:val="009359F1"/>
    <w:rsid w:val="009551B9"/>
    <w:rsid w:val="00981241"/>
    <w:rsid w:val="009D116B"/>
    <w:rsid w:val="009E5228"/>
    <w:rsid w:val="009E7A8F"/>
    <w:rsid w:val="00A05322"/>
    <w:rsid w:val="00A246BD"/>
    <w:rsid w:val="00A3590E"/>
    <w:rsid w:val="00A86526"/>
    <w:rsid w:val="00AD43C1"/>
    <w:rsid w:val="00B21B05"/>
    <w:rsid w:val="00B24F60"/>
    <w:rsid w:val="00B4250F"/>
    <w:rsid w:val="00B51607"/>
    <w:rsid w:val="00BF2246"/>
    <w:rsid w:val="00C0455B"/>
    <w:rsid w:val="00C1218E"/>
    <w:rsid w:val="00C96E8D"/>
    <w:rsid w:val="00CF29BC"/>
    <w:rsid w:val="00D02871"/>
    <w:rsid w:val="00D1445F"/>
    <w:rsid w:val="00D15DD6"/>
    <w:rsid w:val="00D42734"/>
    <w:rsid w:val="00D51EB9"/>
    <w:rsid w:val="00D547AC"/>
    <w:rsid w:val="00DA5B4B"/>
    <w:rsid w:val="00DB6C37"/>
    <w:rsid w:val="00DC7B37"/>
    <w:rsid w:val="00DE1913"/>
    <w:rsid w:val="00E02F04"/>
    <w:rsid w:val="00E113E2"/>
    <w:rsid w:val="00E37AC0"/>
    <w:rsid w:val="00E4225F"/>
    <w:rsid w:val="00E542A0"/>
    <w:rsid w:val="00E58197"/>
    <w:rsid w:val="00E741C5"/>
    <w:rsid w:val="00E823F2"/>
    <w:rsid w:val="00EB3862"/>
    <w:rsid w:val="00F3604D"/>
    <w:rsid w:val="00F5014A"/>
    <w:rsid w:val="00F80A1F"/>
    <w:rsid w:val="00F94C11"/>
    <w:rsid w:val="00FA23BA"/>
    <w:rsid w:val="00FA439A"/>
    <w:rsid w:val="00FD2841"/>
    <w:rsid w:val="00FD392C"/>
    <w:rsid w:val="02494FE2"/>
    <w:rsid w:val="02A7087A"/>
    <w:rsid w:val="0465D913"/>
    <w:rsid w:val="05EEC3C3"/>
    <w:rsid w:val="0633C949"/>
    <w:rsid w:val="0AD11B92"/>
    <w:rsid w:val="0AF396D9"/>
    <w:rsid w:val="0BA47B32"/>
    <w:rsid w:val="0C36D7F5"/>
    <w:rsid w:val="0E2622D4"/>
    <w:rsid w:val="0EF91E1D"/>
    <w:rsid w:val="11968EAC"/>
    <w:rsid w:val="12B84434"/>
    <w:rsid w:val="13ED7317"/>
    <w:rsid w:val="14F61D1C"/>
    <w:rsid w:val="154ED23D"/>
    <w:rsid w:val="161D12CF"/>
    <w:rsid w:val="1626850E"/>
    <w:rsid w:val="178F28D7"/>
    <w:rsid w:val="19A9AFF3"/>
    <w:rsid w:val="1A81227D"/>
    <w:rsid w:val="1A9D5A56"/>
    <w:rsid w:val="1AC83AB0"/>
    <w:rsid w:val="1B0959D6"/>
    <w:rsid w:val="1E847F40"/>
    <w:rsid w:val="1EBED340"/>
    <w:rsid w:val="20E2CDFB"/>
    <w:rsid w:val="2ABD0DCB"/>
    <w:rsid w:val="2BFAB753"/>
    <w:rsid w:val="2CDA6827"/>
    <w:rsid w:val="2E8E5924"/>
    <w:rsid w:val="30A6F9F9"/>
    <w:rsid w:val="30D2F4A4"/>
    <w:rsid w:val="31C66A54"/>
    <w:rsid w:val="3200B269"/>
    <w:rsid w:val="32D4933B"/>
    <w:rsid w:val="346E7E63"/>
    <w:rsid w:val="353B4FC5"/>
    <w:rsid w:val="35607671"/>
    <w:rsid w:val="3665AF86"/>
    <w:rsid w:val="3B6421FC"/>
    <w:rsid w:val="3C64FDB2"/>
    <w:rsid w:val="3DC29C70"/>
    <w:rsid w:val="3E6533AC"/>
    <w:rsid w:val="3F0733BE"/>
    <w:rsid w:val="3FC33880"/>
    <w:rsid w:val="40CBD558"/>
    <w:rsid w:val="426AE234"/>
    <w:rsid w:val="47DB5667"/>
    <w:rsid w:val="48CC52C1"/>
    <w:rsid w:val="491DE118"/>
    <w:rsid w:val="493FB37E"/>
    <w:rsid w:val="496EBD7F"/>
    <w:rsid w:val="4A64488B"/>
    <w:rsid w:val="4B99E91A"/>
    <w:rsid w:val="4D41A74A"/>
    <w:rsid w:val="4EC69FDF"/>
    <w:rsid w:val="4F64A817"/>
    <w:rsid w:val="4F6B493E"/>
    <w:rsid w:val="5096CFEB"/>
    <w:rsid w:val="50F40558"/>
    <w:rsid w:val="5156FC91"/>
    <w:rsid w:val="51FDE3FC"/>
    <w:rsid w:val="5201EF22"/>
    <w:rsid w:val="53279205"/>
    <w:rsid w:val="533D84B0"/>
    <w:rsid w:val="5971DD5C"/>
    <w:rsid w:val="5B0700F8"/>
    <w:rsid w:val="5BD4DD01"/>
    <w:rsid w:val="5C51156A"/>
    <w:rsid w:val="5F617158"/>
    <w:rsid w:val="5FDD5FAF"/>
    <w:rsid w:val="5FE8D3BB"/>
    <w:rsid w:val="602349AD"/>
    <w:rsid w:val="611C7695"/>
    <w:rsid w:val="612AF7D2"/>
    <w:rsid w:val="613AB803"/>
    <w:rsid w:val="62F4D34A"/>
    <w:rsid w:val="634AF790"/>
    <w:rsid w:val="6664220B"/>
    <w:rsid w:val="66FC3BE8"/>
    <w:rsid w:val="686A7CE9"/>
    <w:rsid w:val="6C523E04"/>
    <w:rsid w:val="6CF89D66"/>
    <w:rsid w:val="6D309888"/>
    <w:rsid w:val="7040BA20"/>
    <w:rsid w:val="709F7378"/>
    <w:rsid w:val="7429B043"/>
    <w:rsid w:val="768BB4C7"/>
    <w:rsid w:val="783BB777"/>
    <w:rsid w:val="7933FAF4"/>
    <w:rsid w:val="79AA13B2"/>
    <w:rsid w:val="7AD0F0E0"/>
    <w:rsid w:val="7E2FF7AD"/>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D13"/>
    <w:pPr>
      <w:spacing w:after="200" w:line="276" w:lineRule="auto"/>
      <w:jc w:val="both"/>
    </w:pPr>
    <w:rPr>
      <w:rFonts w:ascii="Work Sans" w:hAnsi="Work Sans"/>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link w:val="Encabezado"/>
    <w:uiPriority w:val="99"/>
    <w:rsid w:val="768BB4C7"/>
  </w:style>
  <w:style w:type="character" w:customStyle="1" w:styleId="PiedepginaCar">
    <w:name w:val="Pie de página Car"/>
    <w:link w:val="Piedepgina"/>
    <w:uiPriority w:val="99"/>
    <w:rsid w:val="768BB4C7"/>
  </w:style>
  <w:style w:type="character" w:customStyle="1" w:styleId="TextoindependienteCar">
    <w:name w:val="Texto independiente Car"/>
    <w:link w:val="Textoindependiente"/>
    <w:uiPriority w:val="1"/>
    <w:rsid w:val="768BB4C7"/>
    <w:rPr>
      <w:rFonts w:ascii="Arial" w:eastAsia="Times New Roman" w:hAnsi="Arial" w:cs="Times New Roman"/>
      <w:sz w:val="24"/>
      <w:szCs w:val="24"/>
      <w:lang w:val="es-ES" w:eastAsia="es-ES"/>
    </w:rPr>
  </w:style>
  <w:style w:type="character" w:customStyle="1" w:styleId="TextoindependienteCar1">
    <w:name w:val="Texto independiente Car1"/>
    <w:uiPriority w:val="99"/>
    <w:semiHidden/>
    <w:rsid w:val="768BB4C7"/>
  </w:style>
  <w:style w:type="character" w:customStyle="1" w:styleId="EncabezadoCar1">
    <w:name w:val="Encabezado Car1"/>
    <w:uiPriority w:val="99"/>
    <w:semiHidden/>
    <w:rsid w:val="768BB4C7"/>
  </w:style>
  <w:style w:type="character" w:customStyle="1" w:styleId="PiedepginaCar1">
    <w:name w:val="Pie de página Car1"/>
    <w:uiPriority w:val="99"/>
    <w:semiHidden/>
    <w:rsid w:val="768BB4C7"/>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pPr>
    <w:rPr>
      <w:rFonts w:ascii="Arial" w:eastAsia="Times New Roman" w:hAnsi="Arial" w:cs="Times New Roman"/>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character" w:styleId="Refdecomentario">
    <w:name w:val="annotation reference"/>
    <w:uiPriority w:val="99"/>
    <w:semiHidden/>
    <w:unhideWhenUsed/>
    <w:rsid w:val="768BB4C7"/>
    <w:rPr>
      <w:sz w:val="16"/>
      <w:szCs w:val="16"/>
    </w:rPr>
  </w:style>
  <w:style w:type="paragraph" w:styleId="Textocomentario">
    <w:name w:val="annotation text"/>
    <w:basedOn w:val="Normal"/>
    <w:link w:val="TextocomentarioCar"/>
    <w:uiPriority w:val="99"/>
    <w:unhideWhenUsed/>
    <w:rsid w:val="009D116B"/>
    <w:pPr>
      <w:spacing w:line="240" w:lineRule="auto"/>
    </w:pPr>
    <w:rPr>
      <w:sz w:val="20"/>
      <w:szCs w:val="20"/>
    </w:rPr>
  </w:style>
  <w:style w:type="character" w:customStyle="1" w:styleId="TextocomentarioCar">
    <w:name w:val="Texto comentario Car"/>
    <w:link w:val="Textocomentario"/>
    <w:uiPriority w:val="99"/>
    <w:rsid w:val="768BB4C7"/>
    <w:rPr>
      <w:rFonts w:ascii="Work Sans" w:hAnsi="Work Sans"/>
      <w:sz w:val="20"/>
      <w:szCs w:val="20"/>
    </w:rPr>
  </w:style>
  <w:style w:type="paragraph" w:styleId="Asuntodelcomentario">
    <w:name w:val="annotation subject"/>
    <w:basedOn w:val="Textocomentario"/>
    <w:next w:val="Textocomentario"/>
    <w:link w:val="AsuntodelcomentarioCar"/>
    <w:uiPriority w:val="99"/>
    <w:semiHidden/>
    <w:unhideWhenUsed/>
    <w:rsid w:val="009D116B"/>
    <w:rPr>
      <w:b/>
      <w:bCs/>
    </w:rPr>
  </w:style>
  <w:style w:type="character" w:customStyle="1" w:styleId="AsuntodelcomentarioCar">
    <w:name w:val="Asunto del comentario Car"/>
    <w:basedOn w:val="TextocomentarioCar"/>
    <w:link w:val="Asuntodelcomentario"/>
    <w:uiPriority w:val="99"/>
    <w:semiHidden/>
    <w:rsid w:val="009D116B"/>
    <w:rPr>
      <w:rFonts w:ascii="Work Sans" w:hAnsi="Work Sans"/>
      <w:b/>
      <w:bCs/>
      <w:sz w:val="20"/>
      <w:szCs w:val="20"/>
    </w:rPr>
  </w:style>
  <w:style w:type="character" w:styleId="Hipervnculo">
    <w:name w:val="Hyperlink"/>
    <w:uiPriority w:val="99"/>
    <w:unhideWhenUsed/>
    <w:rsid w:val="768BB4C7"/>
    <w:rPr>
      <w:color w:val="0563C1"/>
      <w:u w:val="single"/>
    </w:rPr>
  </w:style>
  <w:style w:type="paragraph" w:styleId="Revisin">
    <w:name w:val="Revision"/>
    <w:hidden/>
    <w:uiPriority w:val="99"/>
    <w:semiHidden/>
    <w:rsid w:val="00C1218E"/>
    <w:pPr>
      <w:suppressAutoHyphens w:val="0"/>
    </w:pPr>
    <w:rPr>
      <w:rFonts w:ascii="Work Sans" w:hAnsi="Work Sans"/>
      <w:sz w:val="24"/>
    </w:rPr>
  </w:style>
  <w:style w:type="character" w:styleId="Mencinsinresolver">
    <w:name w:val="Unresolved Mention"/>
    <w:basedOn w:val="Fuentedeprrafopredeter"/>
    <w:uiPriority w:val="99"/>
    <w:semiHidden/>
    <w:unhideWhenUsed/>
    <w:rsid w:val="00282CDF"/>
    <w:rPr>
      <w:color w:val="605E5C"/>
      <w:shd w:val="clear" w:color="auto" w:fill="E1DFDD"/>
    </w:rPr>
  </w:style>
  <w:style w:type="paragraph" w:styleId="NormalWeb">
    <w:name w:val="Normal (Web)"/>
    <w:basedOn w:val="Normal"/>
    <w:uiPriority w:val="99"/>
    <w:semiHidden/>
    <w:unhideWhenUsed/>
    <w:rsid w:val="002D7FB4"/>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570735">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24316395">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energia@minenergia.gov.co"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minenergiacol-my.sharepoint.com/:f:/g/personal/kahernandez_minenergia_gov_co/IgAbO3n-NFydQZvdIFEX3jR5Af_Cu9g8EMeyB6KgcOEWFeE?e=ltnFSE" TargetMode="Externa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yperlink" Target="https://www.funcionpublica.gov.co/eva/gestornormativo/norma.php?i=166326"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kahernandez@minenergia.gov.co" TargetMode="External"/><Relationship Id="rId14" Type="http://schemas.openxmlformats.org/officeDocument/2006/relationships/customXml" Target="../customXml/item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3D6E82383C8B40A3094AFB3BA614FD" ma:contentTypeVersion="17" ma:contentTypeDescription="Crear nuevo documento." ma:contentTypeScope="" ma:versionID="57d3568a8fbd6c9b04d72ce6b30548a9">
  <xsd:schema xmlns:xsd="http://www.w3.org/2001/XMLSchema" xmlns:xs="http://www.w3.org/2001/XMLSchema" xmlns:p="http://schemas.microsoft.com/office/2006/metadata/properties" xmlns:ns2="9140daf3-b17c-4d0b-be2e-0a12b28659ba" xmlns:ns3="ea9ac20b-8dc5-49c1-a68a-30fc4d6930a1" targetNamespace="http://schemas.microsoft.com/office/2006/metadata/properties" ma:root="true" ma:fieldsID="465aa380b7797cabe7f6d8055440ac2d" ns2:_="" ns3:_="">
    <xsd:import namespace="9140daf3-b17c-4d0b-be2e-0a12b28659ba"/>
    <xsd:import namespace="ea9ac20b-8dc5-49c1-a68a-30fc4d6930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Fecha" minOccurs="0"/>
                <xsd:element ref="ns2:Fechademodificaci_x00f3_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daf3-b17c-4d0b-be2e-0a12b2865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Fecha" ma:index="22" nillable="true" ma:displayName="Fecha" ma:format="DateOnly" ma:internalName="Fecha">
      <xsd:simpleType>
        <xsd:restriction base="dms:DateTime"/>
      </xsd:simpleType>
    </xsd:element>
    <xsd:element name="Fechademodificaci_x00f3_n" ma:index="23" nillable="true" ma:displayName="Fecha de modificación" ma:format="DateOnly" ma:internalName="Fechademodificaci_x00f3_n">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a9ac20b-8dc5-49c1-a68a-30fc4d6930a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3d3110e-50f5-49a4-9188-280243a155a5}" ma:internalName="TaxCatchAll" ma:showField="CatchAllData" ma:web="ea9ac20b-8dc5-49c1-a68a-30fc4d6930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echademodificaci_x00f3_n xmlns="9140daf3-b17c-4d0b-be2e-0a12b28659ba" xsi:nil="true"/>
    <TaxCatchAll xmlns="ea9ac20b-8dc5-49c1-a68a-30fc4d6930a1" xsi:nil="true"/>
    <lcf76f155ced4ddcb4097134ff3c332f xmlns="9140daf3-b17c-4d0b-be2e-0a12b28659ba">
      <Terms xmlns="http://schemas.microsoft.com/office/infopath/2007/PartnerControls"/>
    </lcf76f155ced4ddcb4097134ff3c332f>
    <Fecha xmlns="9140daf3-b17c-4d0b-be2e-0a12b28659ba" xsi:nil="true"/>
  </documentManagement>
</p:properties>
</file>

<file path=customXml/itemProps1.xml><?xml version="1.0" encoding="utf-8"?>
<ds:datastoreItem xmlns:ds="http://schemas.openxmlformats.org/officeDocument/2006/customXml" ds:itemID="{E61DB2B4-CCE2-4F64-AD68-F1CB37B4D4EF}"/>
</file>

<file path=customXml/itemProps2.xml><?xml version="1.0" encoding="utf-8"?>
<ds:datastoreItem xmlns:ds="http://schemas.openxmlformats.org/officeDocument/2006/customXml" ds:itemID="{052FAAD3-134A-4DB0-90D9-F136E292EBE7}"/>
</file>

<file path=customXml/itemProps3.xml><?xml version="1.0" encoding="utf-8"?>
<ds:datastoreItem xmlns:ds="http://schemas.openxmlformats.org/officeDocument/2006/customXml" ds:itemID="{D2D4553D-C07A-4C39-AD47-F98B33B8EFA4}"/>
</file>

<file path=docProps/app.xml><?xml version="1.0" encoding="utf-8"?>
<Properties xmlns="http://schemas.openxmlformats.org/officeDocument/2006/extended-properties" xmlns:vt="http://schemas.openxmlformats.org/officeDocument/2006/docPropsVTypes">
  <Template>Normal</Template>
  <TotalTime>33</TotalTime>
  <Pages>7</Pages>
  <Words>2046</Words>
  <Characters>11254</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KELLY ALEXANDRA HERNANDEZ HERNANDEZ</cp:lastModifiedBy>
  <cp:revision>10</cp:revision>
  <dcterms:created xsi:type="dcterms:W3CDTF">2026-06-30T17:06:00Z</dcterms:created>
  <dcterms:modified xsi:type="dcterms:W3CDTF">2026-07-17T12:36:00Z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0x010100FD3D6E82383C8B40A3094AFB3BA614FD</vt:lpwstr>
  </property>
</Properties>
</file>